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621A6FDF" w:rsidR="00427919" w:rsidRDefault="0080261E" w:rsidP="005D542D">
            <w:r>
              <w:t xml:space="preserve">ASCWU </w:t>
            </w:r>
            <w:r w:rsidR="005D542D">
              <w:t>Student Life &amp; Facilities</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1C53F506" w:rsidR="00427919" w:rsidRDefault="005D542D" w:rsidP="005D542D">
            <w:r>
              <w:t>Gerardo Castillo</w:t>
            </w:r>
            <w:r w:rsidR="0080261E">
              <w:t xml:space="preserve">, ASCWU Director </w:t>
            </w:r>
            <w:r>
              <w:t>Student Life &amp; Facilities</w:t>
            </w:r>
            <w:r w:rsidR="009F3C6C">
              <w:t xml:space="preserve">, and </w:t>
            </w:r>
            <w:r w:rsidR="009F3C6C">
              <w:t>Joey Bryant</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00334448" w:rsidR="00D93820" w:rsidRDefault="00DF13BA" w:rsidP="00DF13BA">
            <w:pPr>
              <w:pStyle w:val="ListParagraph"/>
              <w:ind w:left="0"/>
            </w:pPr>
            <w:r>
              <w:t xml:space="preserve">ASCWU Student Life &amp; Facilities </w:t>
            </w:r>
            <w:r w:rsidRPr="00DF13BA">
              <w:t>organizes and participates on</w:t>
            </w:r>
            <w:r>
              <w:t xml:space="preserve"> SURC</w:t>
            </w:r>
            <w:r w:rsidRPr="00DF13BA">
              <w:t xml:space="preserve"> Advisory Boards</w:t>
            </w:r>
            <w:r>
              <w:t xml:space="preserve"> (</w:t>
            </w:r>
            <w:r w:rsidRPr="00DF13BA">
              <w:t>Recreation Center, Student Union, Dining Services, and the Wildcat Shop</w:t>
            </w:r>
            <w:r>
              <w:t>)</w:t>
            </w:r>
            <w:r w:rsidRPr="00DF13BA">
              <w:t>. The</w:t>
            </w:r>
            <w:r>
              <w:t xml:space="preserve"> Director of Student Life &amp; Facilities</w:t>
            </w:r>
            <w:r w:rsidRPr="00DF13BA">
              <w:t xml:space="preserve"> serve</w:t>
            </w:r>
            <w:r>
              <w:t>s</w:t>
            </w:r>
            <w:r w:rsidRPr="00DF13BA">
              <w:t xml:space="preserve"> as the liaison to the Residence Hall Association, and sits on or appoints students to sit on various committees around campus such as capital projects planning. </w:t>
            </w:r>
            <w:r>
              <w:t>ASCWU Student Life &amp; Facilities</w:t>
            </w:r>
            <w:r w:rsidRPr="00DF13BA">
              <w:t xml:space="preserve"> directly support CWU students with their work on creating and instilling CWU traditions through their oversight of </w:t>
            </w:r>
            <w:r>
              <w:t xml:space="preserve">the </w:t>
            </w:r>
            <w:r w:rsidRPr="00DF13BA">
              <w:t>Wellington Wildcat</w:t>
            </w:r>
            <w:r>
              <w:t xml:space="preserve"> and by creating</w:t>
            </w:r>
            <w:r w:rsidRPr="00DF13BA">
              <w:t xml:space="preserve"> a variety of dynamic collaborations such as Wellington’s Wildfire, Homecoming support, </w:t>
            </w:r>
            <w:proofErr w:type="spellStart"/>
            <w:r w:rsidRPr="00DF13BA">
              <w:t>WildFest</w:t>
            </w:r>
            <w:proofErr w:type="spellEnd"/>
            <w:r w:rsidRPr="00DF13BA">
              <w:t>, and many other university-wide collaborations.</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5D67C90E" w14:textId="4833359C" w:rsidR="00161F09" w:rsidRDefault="00161F09" w:rsidP="00161F09">
            <w:pPr>
              <w:pStyle w:val="ListParagraph"/>
              <w:ind w:left="0"/>
            </w:pPr>
            <w:r>
              <w:t xml:space="preserve">The ASCWU Office of Student Life &amp; Facilities </w:t>
            </w:r>
            <w:proofErr w:type="gramStart"/>
            <w:r>
              <w:t>is tasked</w:t>
            </w:r>
            <w:proofErr w:type="gramEnd"/>
            <w:r>
              <w:t xml:space="preserve"> with promoting and advocating for CWU spirit </w:t>
            </w:r>
            <w:r>
              <w:t>throughout the institution</w:t>
            </w:r>
            <w:r>
              <w:t xml:space="preserve"> and within the community. The goal of this office is to be active partners with </w:t>
            </w:r>
            <w:r>
              <w:t>several university departments</w:t>
            </w:r>
            <w:r>
              <w:t xml:space="preserve"> serving as a direct liaison and voting member on a variety of committees (ex. Wildcat Shop Advisory Board, Student Technology Fee Council, Student Union Advisory Board, SURC Governance, and many others). This office has direct selection, training, and supervision of CWU’s Mascot, Wellington.</w:t>
            </w:r>
          </w:p>
          <w:p w14:paraId="69C8EB97" w14:textId="77777777" w:rsidR="00161F09" w:rsidRDefault="00161F09" w:rsidP="00161F09">
            <w:pPr>
              <w:pStyle w:val="ListParagraph"/>
              <w:ind w:left="0"/>
            </w:pPr>
          </w:p>
          <w:p w14:paraId="7F61E9CD" w14:textId="719901D0" w:rsidR="00D93820" w:rsidRDefault="00161F09" w:rsidP="00161F09">
            <w:pPr>
              <w:pStyle w:val="ListParagraph"/>
              <w:ind w:left="0"/>
            </w:pPr>
            <w:r>
              <w:t xml:space="preserve">The effectiveness </w:t>
            </w:r>
            <w:proofErr w:type="gramStart"/>
            <w:r>
              <w:t>is evaluated</w:t>
            </w:r>
            <w:proofErr w:type="gramEnd"/>
            <w:r>
              <w:t xml:space="preserve"> on student engagement with committees, outcomes of SURC Governance, and ability for student leaders to facilitate programs with CWU departments. Beyond informal evaluation, there is no current formal evaluation of programs and events within this office.</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7B87A99A" w:rsidR="00D93820" w:rsidRDefault="006E2BFB" w:rsidP="006E2BFB">
            <w:pPr>
              <w:pStyle w:val="ListParagraph"/>
              <w:ind w:left="0"/>
            </w:pPr>
            <w:r>
              <w:t xml:space="preserve">The purpose of ASCWU Student Life &amp; Facilities is to represent student issues related to university facilities and student engagement to the university administration, work to create </w:t>
            </w:r>
            <w:proofErr w:type="gramStart"/>
            <w:r>
              <w:t>a positive and inclusive student environments</w:t>
            </w:r>
            <w:proofErr w:type="gramEnd"/>
            <w:r>
              <w:t>, and offer insight on policies, programs, and initiatives. While Student Life &amp; Facilities works closely with a number of key stakeholders and collaborators throughout the institution, there are no other programs or offices with a similar purpose or services.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5D73F50D" w:rsidR="00D93820" w:rsidRDefault="006E2BFB" w:rsidP="006E2BFB">
            <w:pPr>
              <w:pStyle w:val="ListParagraph"/>
              <w:ind w:left="0"/>
            </w:pPr>
            <w:r>
              <w:t xml:space="preserve">ASCWU </w:t>
            </w:r>
            <w:r>
              <w:t>Student Life &amp; Facilities</w:t>
            </w:r>
            <w:r>
              <w:t xml:space="preserve"> </w:t>
            </w:r>
            <w:proofErr w:type="gramStart"/>
            <w:r>
              <w:t>is directly aligned</w:t>
            </w:r>
            <w:proofErr w:type="gramEnd"/>
            <w:r>
              <w:t xml:space="preserve"> with S&amp;A’s purpose of supporting student activities and programs as they </w:t>
            </w:r>
            <w:r>
              <w:t>represent student issues related to university facilities and student services, work to create a positive and inclusive student environment through programs and activities, and offer insight to support those goals through policies, programs, and initiatives</w:t>
            </w:r>
            <w:r>
              <w:t>. Student Government is specifically a category mentioned in state regulations and the Killian Outline as historically supported and permissible use of S&amp;A funding.</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3A7468BC" w14:textId="77777777" w:rsidR="009F3C6C" w:rsidRDefault="009F3C6C" w:rsidP="009F3C6C">
            <w:pPr>
              <w:pStyle w:val="ListParagraph"/>
              <w:ind w:left="0"/>
            </w:pPr>
            <w:r>
              <w:t>Specifically, ASCWU supports and aligns with the following areas of the strategic plan:</w:t>
            </w:r>
          </w:p>
          <w:p w14:paraId="1EE2D4E2" w14:textId="77777777" w:rsidR="009F3C6C" w:rsidRDefault="009F3C6C" w:rsidP="009F3C6C">
            <w:pPr>
              <w:pStyle w:val="ListParagraph"/>
              <w:ind w:left="0"/>
            </w:pPr>
          </w:p>
          <w:p w14:paraId="7F0D9ABE" w14:textId="77777777" w:rsidR="009F3C6C" w:rsidRDefault="009F3C6C" w:rsidP="009F3C6C">
            <w:pPr>
              <w:pStyle w:val="ListParagraph"/>
              <w:ind w:left="0"/>
            </w:pPr>
            <w:r>
              <w:t>Unifying Value: Student Success</w:t>
            </w:r>
          </w:p>
          <w:p w14:paraId="47F67784" w14:textId="77777777" w:rsidR="009F3C6C" w:rsidRDefault="009F3C6C" w:rsidP="009F3C6C">
            <w:r>
              <w:t>Goal 1: Enhance student engagement and success, and improve retention and graduation rates.</w:t>
            </w:r>
          </w:p>
          <w:p w14:paraId="5553CC9B" w14:textId="77777777" w:rsidR="009F3C6C" w:rsidRDefault="009F3C6C" w:rsidP="009F3C6C">
            <w:pPr>
              <w:pStyle w:val="ListParagraph"/>
              <w:numPr>
                <w:ilvl w:val="0"/>
                <w:numId w:val="3"/>
              </w:numPr>
            </w:pPr>
            <w:r>
              <w:t xml:space="preserve">Initiative 1.4: Working with high schools and community colleges, develop clear pathways into the university to provide equitable and inclusive enrollment practices and graduation attainment. </w:t>
            </w:r>
          </w:p>
          <w:p w14:paraId="0ADD455B" w14:textId="77777777" w:rsidR="009F3C6C" w:rsidRPr="00A431D6" w:rsidRDefault="009F3C6C" w:rsidP="009F3C6C">
            <w:pPr>
              <w:pStyle w:val="ListParagraph"/>
              <w:numPr>
                <w:ilvl w:val="1"/>
                <w:numId w:val="3"/>
              </w:numPr>
              <w:rPr>
                <w:i/>
              </w:rPr>
            </w:pPr>
            <w:r w:rsidRPr="00A431D6">
              <w:rPr>
                <w:i/>
              </w:rPr>
              <w:t>ASCWU partnership and initiative on Yakima Pathways program and legislative support.</w:t>
            </w:r>
          </w:p>
          <w:p w14:paraId="65BA6EE0" w14:textId="77777777" w:rsidR="009F3C6C" w:rsidRDefault="009F3C6C" w:rsidP="009F3C6C">
            <w:pPr>
              <w:pStyle w:val="ListParagraph"/>
              <w:numPr>
                <w:ilvl w:val="0"/>
                <w:numId w:val="3"/>
              </w:numPr>
            </w:pPr>
            <w:r>
              <w:t>Initiative 1.5: Map inclusive, evidence-based and pedagogically sound High-Impact Practices (HIPs) to our academic and student engagement programs in a developmental way throughout a student’s journey.</w:t>
            </w:r>
          </w:p>
          <w:p w14:paraId="3C3C77C5" w14:textId="77777777" w:rsidR="009F3C6C" w:rsidRPr="00A431D6" w:rsidRDefault="009F3C6C" w:rsidP="009F3C6C">
            <w:pPr>
              <w:pStyle w:val="ListParagraph"/>
              <w:numPr>
                <w:ilvl w:val="1"/>
                <w:numId w:val="3"/>
              </w:numPr>
              <w:rPr>
                <w:i/>
              </w:rPr>
            </w:pPr>
            <w:r w:rsidRPr="00A431D6">
              <w:rPr>
                <w:i/>
              </w:rPr>
              <w:t xml:space="preserve">Equity Services Council, affinity based programming, and engagement programming. </w:t>
            </w:r>
            <w:r>
              <w:rPr>
                <w:i/>
              </w:rPr>
              <w:t>Multicultural Center and HSI initiatives.</w:t>
            </w:r>
          </w:p>
          <w:p w14:paraId="76CB85B9" w14:textId="77777777" w:rsidR="009F3C6C" w:rsidRDefault="009F3C6C" w:rsidP="009F3C6C">
            <w:r>
              <w:t>Goal 3: Elevate the holistic well-being of our students.</w:t>
            </w:r>
          </w:p>
          <w:p w14:paraId="78D5FD25" w14:textId="77777777" w:rsidR="009F3C6C" w:rsidRDefault="009F3C6C" w:rsidP="009F3C6C">
            <w:pPr>
              <w:pStyle w:val="ListParagraph"/>
              <w:numPr>
                <w:ilvl w:val="0"/>
                <w:numId w:val="4"/>
              </w:numPr>
            </w:pPr>
            <w:r>
              <w:t>Initiative 3.1: Establish the Culture of Respect Leadership Council and implement the CWU Safe Committee recommendations.</w:t>
            </w:r>
          </w:p>
          <w:p w14:paraId="445D66DB" w14:textId="77777777" w:rsidR="009F3C6C" w:rsidRPr="00A431D6" w:rsidRDefault="009F3C6C" w:rsidP="009F3C6C">
            <w:pPr>
              <w:pStyle w:val="ListParagraph"/>
              <w:numPr>
                <w:ilvl w:val="1"/>
                <w:numId w:val="4"/>
              </w:numPr>
              <w:rPr>
                <w:i/>
              </w:rPr>
            </w:pPr>
            <w:r w:rsidRPr="00A431D6">
              <w:rPr>
                <w:i/>
              </w:rPr>
              <w:t>ASCWU participated in the Safe Committee and serves on the Culture of Respect Leadership Council.</w:t>
            </w:r>
          </w:p>
          <w:p w14:paraId="4E3FC77C" w14:textId="77777777" w:rsidR="009F3C6C" w:rsidRDefault="009F3C6C" w:rsidP="009F3C6C">
            <w:pPr>
              <w:pStyle w:val="ListParagraph"/>
              <w:numPr>
                <w:ilvl w:val="0"/>
                <w:numId w:val="4"/>
              </w:numPr>
            </w:pPr>
            <w:r>
              <w:t>Initiative 3.2: Increase awareness and utilization of student health and wellness support services.</w:t>
            </w:r>
          </w:p>
          <w:p w14:paraId="7FD4B769" w14:textId="77777777" w:rsidR="009F3C6C" w:rsidRPr="00A431D6" w:rsidRDefault="009F3C6C" w:rsidP="009F3C6C">
            <w:pPr>
              <w:pStyle w:val="ListParagraph"/>
              <w:numPr>
                <w:ilvl w:val="1"/>
                <w:numId w:val="4"/>
              </w:numPr>
              <w:rPr>
                <w:i/>
              </w:rPr>
            </w:pPr>
            <w:r w:rsidRPr="00A431D6">
              <w:rPr>
                <w:i/>
              </w:rPr>
              <w:t>Partnerships with Office of Health Promotion on awareness programming and staff trainings. Promote and encourage utilization of services through promotions and public meetings.</w:t>
            </w:r>
          </w:p>
          <w:p w14:paraId="1E8D2F68" w14:textId="77777777" w:rsidR="009F3C6C" w:rsidRDefault="009F3C6C" w:rsidP="009F3C6C">
            <w:r>
              <w:t>Core Value: Engagement</w:t>
            </w:r>
          </w:p>
          <w:p w14:paraId="296070CA" w14:textId="77777777" w:rsidR="009F3C6C" w:rsidRDefault="009F3C6C" w:rsidP="009F3C6C">
            <w:r>
              <w:t>Goal 1: Amplify and elevate the university’s relationship with local and regional communities.</w:t>
            </w:r>
          </w:p>
          <w:p w14:paraId="73D3BE36" w14:textId="77777777" w:rsidR="009F3C6C" w:rsidRDefault="009F3C6C" w:rsidP="009F3C6C">
            <w:pPr>
              <w:pStyle w:val="ListParagraph"/>
              <w:numPr>
                <w:ilvl w:val="0"/>
                <w:numId w:val="5"/>
              </w:numPr>
            </w:pPr>
            <w:r>
              <w:t xml:space="preserve">Initiative 1.1: Integrate our strategic planning and activities with the cities within Kittitas </w:t>
            </w:r>
            <w:proofErr w:type="gramStart"/>
            <w:r>
              <w:t>county</w:t>
            </w:r>
            <w:proofErr w:type="gramEnd"/>
            <w:r>
              <w:t xml:space="preserve"> and with the county as a whole, as well as with other cities and counties in our region.</w:t>
            </w:r>
          </w:p>
          <w:p w14:paraId="1D350CBD" w14:textId="77777777" w:rsidR="009F3C6C" w:rsidRDefault="009F3C6C" w:rsidP="009F3C6C">
            <w:pPr>
              <w:pStyle w:val="ListParagraph"/>
              <w:numPr>
                <w:ilvl w:val="1"/>
                <w:numId w:val="5"/>
              </w:numPr>
            </w:pPr>
            <w:r w:rsidRPr="00A431D6">
              <w:rPr>
                <w:i/>
              </w:rPr>
              <w:t>Connection with Kittitas County, particularly Ellensburg community and government. ASCWU serves on numerous community boards and committees. Participate in Downtown Association and City Council events and programs. Invite community partners to ASCWU programs</w:t>
            </w:r>
            <w:r>
              <w:t>.</w:t>
            </w:r>
          </w:p>
          <w:p w14:paraId="17367086" w14:textId="77777777" w:rsidR="009F3C6C" w:rsidRDefault="009F3C6C" w:rsidP="009F3C6C">
            <w:r>
              <w:t>Core Value: Belonging</w:t>
            </w:r>
          </w:p>
          <w:p w14:paraId="1E87918F" w14:textId="77777777" w:rsidR="009F3C6C" w:rsidRDefault="009F3C6C" w:rsidP="009F3C6C">
            <w:r>
              <w:lastRenderedPageBreak/>
              <w:t xml:space="preserve">Goal 1: Establish hiring, onboarding, and evaluation processes that nurture a culture of inclusion for all employees with a focus on increasing the number of employees from historically excluded groups. </w:t>
            </w:r>
          </w:p>
          <w:p w14:paraId="51E7DC5C" w14:textId="77777777" w:rsidR="009F3C6C" w:rsidRDefault="009F3C6C" w:rsidP="009F3C6C">
            <w:pPr>
              <w:pStyle w:val="ListParagraph"/>
              <w:numPr>
                <w:ilvl w:val="0"/>
                <w:numId w:val="6"/>
              </w:numPr>
            </w:pPr>
            <w:r>
              <w:t>Initiative 1.1: Make diversity and equity a priority in the hiring, onboarding, and retention of faculty and staff</w:t>
            </w:r>
          </w:p>
          <w:p w14:paraId="46FDA537" w14:textId="77777777" w:rsidR="009F3C6C" w:rsidRDefault="009F3C6C" w:rsidP="009F3C6C">
            <w:pPr>
              <w:pStyle w:val="ListParagraph"/>
              <w:numPr>
                <w:ilvl w:val="1"/>
                <w:numId w:val="6"/>
              </w:numPr>
            </w:pPr>
            <w:r w:rsidRPr="004852E8">
              <w:rPr>
                <w:i/>
              </w:rPr>
              <w:t>ASCWU involvement in hiring of key staff and faculty positions throughout institution. Implementation of priority into ASCWU hiring practices</w:t>
            </w:r>
            <w:r>
              <w:t>.</w:t>
            </w:r>
          </w:p>
          <w:p w14:paraId="0BB8091F" w14:textId="77777777" w:rsidR="009F3C6C" w:rsidRDefault="009F3C6C" w:rsidP="009F3C6C">
            <w:r>
              <w:t>Goal 2: Become a Hispanic Service Institution (HSI).</w:t>
            </w:r>
          </w:p>
          <w:p w14:paraId="2E42B172" w14:textId="77777777" w:rsidR="009F3C6C" w:rsidRDefault="009F3C6C" w:rsidP="009F3C6C">
            <w:pPr>
              <w:pStyle w:val="ListParagraph"/>
              <w:numPr>
                <w:ilvl w:val="0"/>
                <w:numId w:val="6"/>
              </w:numPr>
            </w:pPr>
            <w:r>
              <w:t>Initiative 2.1: Develop Hispanic/</w:t>
            </w:r>
            <w:proofErr w:type="spellStart"/>
            <w:r>
              <w:t>Latinx</w:t>
            </w:r>
            <w:proofErr w:type="spellEnd"/>
            <w:r>
              <w:t xml:space="preserve"> Thriving Leadership Council of faculty, staff, students, and community members to chart the path towards becoming an HSI, with clear leadership and resources, including continued participation at United States Hispanic Leadership Institute, Alliance for Hispanic Serving Institution Educators, and Hispanic Association of Colleges and Universities and a dedicated staff position to coordinate these efforts. </w:t>
            </w:r>
          </w:p>
          <w:p w14:paraId="4F9E2B52" w14:textId="77777777" w:rsidR="009F3C6C" w:rsidRPr="00596D6C" w:rsidRDefault="009F3C6C" w:rsidP="009F3C6C">
            <w:pPr>
              <w:pStyle w:val="ListParagraph"/>
              <w:numPr>
                <w:ilvl w:val="1"/>
                <w:numId w:val="6"/>
              </w:numPr>
              <w:rPr>
                <w:i/>
              </w:rPr>
            </w:pPr>
            <w:r w:rsidRPr="00596D6C">
              <w:rPr>
                <w:i/>
              </w:rPr>
              <w:t>ASCWU involvement in Hispanic/</w:t>
            </w:r>
            <w:proofErr w:type="spellStart"/>
            <w:r w:rsidRPr="00596D6C">
              <w:rPr>
                <w:i/>
              </w:rPr>
              <w:t>Latinx</w:t>
            </w:r>
            <w:proofErr w:type="spellEnd"/>
            <w:r w:rsidRPr="00596D6C">
              <w:rPr>
                <w:i/>
              </w:rPr>
              <w:t xml:space="preserve"> Thriving Leadership Council.</w:t>
            </w:r>
          </w:p>
          <w:p w14:paraId="01F0B884" w14:textId="77777777" w:rsidR="009F3C6C" w:rsidRDefault="009F3C6C" w:rsidP="009F3C6C">
            <w:pPr>
              <w:pStyle w:val="ListParagraph"/>
              <w:numPr>
                <w:ilvl w:val="0"/>
                <w:numId w:val="6"/>
              </w:numPr>
            </w:pPr>
            <w:r>
              <w:t>Initiative 2.2: Develop strategic partnerships with equity organizations, local community-based organizations, and HSIs for knowledge sharing and program development to better support underserved students.</w:t>
            </w:r>
          </w:p>
          <w:p w14:paraId="0AE35D9F" w14:textId="77777777" w:rsidR="009F3C6C" w:rsidRPr="00596D6C" w:rsidRDefault="009F3C6C" w:rsidP="009F3C6C">
            <w:pPr>
              <w:pStyle w:val="ListParagraph"/>
              <w:numPr>
                <w:ilvl w:val="1"/>
                <w:numId w:val="6"/>
              </w:numPr>
              <w:rPr>
                <w:i/>
              </w:rPr>
            </w:pPr>
            <w:r w:rsidRPr="00596D6C">
              <w:rPr>
                <w:i/>
              </w:rPr>
              <w:t>Involvement and partnership with Equity Services Council and affinity based organizations.</w:t>
            </w:r>
          </w:p>
          <w:p w14:paraId="4F8B630C" w14:textId="77777777" w:rsidR="009F3C6C" w:rsidRDefault="009F3C6C" w:rsidP="009F3C6C">
            <w:pPr>
              <w:pStyle w:val="ListParagraph"/>
              <w:numPr>
                <w:ilvl w:val="0"/>
                <w:numId w:val="6"/>
              </w:numPr>
            </w:pPr>
            <w:r>
              <w:t xml:space="preserve">Initiative 2.3: Develop a plan for early outreach, targeted recruitment, retention, and graduation of </w:t>
            </w:r>
            <w:proofErr w:type="spellStart"/>
            <w:r>
              <w:t>Latinx</w:t>
            </w:r>
            <w:proofErr w:type="spellEnd"/>
            <w:r>
              <w:t xml:space="preserve"> students. </w:t>
            </w:r>
          </w:p>
          <w:p w14:paraId="31639C5E" w14:textId="77777777" w:rsidR="009F3C6C" w:rsidRPr="00596D6C" w:rsidRDefault="009F3C6C" w:rsidP="009F3C6C">
            <w:pPr>
              <w:pStyle w:val="ListParagraph"/>
              <w:numPr>
                <w:ilvl w:val="1"/>
                <w:numId w:val="6"/>
              </w:numPr>
              <w:rPr>
                <w:i/>
              </w:rPr>
            </w:pPr>
            <w:r w:rsidRPr="00596D6C">
              <w:rPr>
                <w:i/>
              </w:rPr>
              <w:t>ASCWU involvement in feedback and accountability of leadership.</w:t>
            </w:r>
          </w:p>
          <w:p w14:paraId="5572849C" w14:textId="77777777" w:rsidR="009F3C6C" w:rsidRDefault="009F3C6C" w:rsidP="009F3C6C">
            <w:pPr>
              <w:pStyle w:val="ListParagraph"/>
              <w:numPr>
                <w:ilvl w:val="0"/>
                <w:numId w:val="6"/>
              </w:numPr>
            </w:pPr>
            <w:r>
              <w:t>Initiative 2.5: Implement bilingual and culturally responsive practices across the institution, including translation of important materials and information into Spanish.</w:t>
            </w:r>
          </w:p>
          <w:p w14:paraId="255632EF" w14:textId="77777777" w:rsidR="009F3C6C" w:rsidRDefault="009F3C6C" w:rsidP="009F3C6C">
            <w:pPr>
              <w:pStyle w:val="ListParagraph"/>
              <w:numPr>
                <w:ilvl w:val="1"/>
                <w:numId w:val="6"/>
              </w:numPr>
            </w:pPr>
            <w:r w:rsidRPr="00596D6C">
              <w:rPr>
                <w:i/>
              </w:rPr>
              <w:t>ASCWU involvement in feedback and accountability of leadership.</w:t>
            </w:r>
          </w:p>
          <w:p w14:paraId="76ECC1A1" w14:textId="77777777" w:rsidR="009F3C6C" w:rsidRDefault="009F3C6C" w:rsidP="009F3C6C">
            <w:r>
              <w:t>Goal 3: Cultivate an inclusive and welcoming campus culture that embraces diversity, that fosters a sense of belonging for all students, faculty, and staff, and that nurtures pride in the university.</w:t>
            </w:r>
          </w:p>
          <w:p w14:paraId="73CD3047" w14:textId="77777777" w:rsidR="009F3C6C" w:rsidRDefault="009F3C6C" w:rsidP="009F3C6C">
            <w:pPr>
              <w:pStyle w:val="ListParagraph"/>
              <w:numPr>
                <w:ilvl w:val="0"/>
                <w:numId w:val="7"/>
              </w:numPr>
            </w:pPr>
            <w:r>
              <w:t>Initiative 3.2: Establish, maintain, and resource affinity groups for historically excluded students, faculty, and staff, focused on marginalized identities such as racial/ethnic, LGBTQ+, disability, and internationals, to create a safe and supportive environment where they can connect and share experiences.</w:t>
            </w:r>
          </w:p>
          <w:p w14:paraId="21C1F820" w14:textId="77777777" w:rsidR="009F3C6C" w:rsidRPr="004852E8" w:rsidRDefault="009F3C6C" w:rsidP="009F3C6C">
            <w:pPr>
              <w:pStyle w:val="ListParagraph"/>
              <w:numPr>
                <w:ilvl w:val="1"/>
                <w:numId w:val="7"/>
              </w:numPr>
              <w:rPr>
                <w:i/>
              </w:rPr>
            </w:pPr>
            <w:r w:rsidRPr="004852E8">
              <w:rPr>
                <w:i/>
              </w:rPr>
              <w:t>Promote, support, involve, and participation through Equity Services Council and affinity based programming and supports.</w:t>
            </w:r>
          </w:p>
          <w:p w14:paraId="29589F7F" w14:textId="77777777" w:rsidR="009F3C6C" w:rsidRDefault="009F3C6C" w:rsidP="009F3C6C">
            <w:pPr>
              <w:pStyle w:val="ListParagraph"/>
              <w:numPr>
                <w:ilvl w:val="0"/>
                <w:numId w:val="7"/>
              </w:numPr>
            </w:pPr>
            <w:r>
              <w:t>Initiative 3.3: Build mechanisms for nurturing a strong sense of affiliation with and pride in Central Washington University.</w:t>
            </w:r>
          </w:p>
          <w:p w14:paraId="47EB83A2" w14:textId="77777777" w:rsidR="009F3C6C" w:rsidRDefault="009F3C6C" w:rsidP="009F3C6C">
            <w:pPr>
              <w:pStyle w:val="ListParagraph"/>
              <w:numPr>
                <w:ilvl w:val="1"/>
                <w:numId w:val="7"/>
              </w:numPr>
            </w:pPr>
            <w:r w:rsidRPr="004852E8">
              <w:rPr>
                <w:i/>
              </w:rPr>
              <w:t>ASCWU promotion and involvement through engagement programming</w:t>
            </w:r>
            <w:r>
              <w:t>.</w:t>
            </w:r>
          </w:p>
          <w:p w14:paraId="3125B60B" w14:textId="77777777" w:rsidR="009F3C6C" w:rsidRDefault="009F3C6C" w:rsidP="009F3C6C"/>
          <w:p w14:paraId="0EC595D2" w14:textId="77777777" w:rsidR="009F3C6C" w:rsidRDefault="009F3C6C" w:rsidP="009F3C6C">
            <w:r>
              <w:t>Core Value: Stewardship</w:t>
            </w:r>
          </w:p>
          <w:p w14:paraId="4D115A40" w14:textId="77777777" w:rsidR="009F3C6C" w:rsidRDefault="009F3C6C" w:rsidP="009F3C6C">
            <w:r>
              <w:t>Goal 1: Promote sustainable practices and responsible stewardship of land and resources to support an ecologically healthy and socially just world, while respecting and honoring Indigenous peoples.</w:t>
            </w:r>
          </w:p>
          <w:p w14:paraId="2DC03599" w14:textId="77777777" w:rsidR="009F3C6C" w:rsidRDefault="009F3C6C" w:rsidP="009F3C6C">
            <w:pPr>
              <w:pStyle w:val="ListParagraph"/>
              <w:numPr>
                <w:ilvl w:val="0"/>
                <w:numId w:val="8"/>
              </w:numPr>
            </w:pPr>
            <w:r>
              <w:t>Initiative 1.1: Develop and implement a comprehensive, university-wide Sustainability &amp; Climate Change Action Plan, which incorporates environmental, social, and economic considerations into university operations, infrastructure, and academic programs in collaboration with the local community.</w:t>
            </w:r>
          </w:p>
          <w:p w14:paraId="41D4FB16" w14:textId="77777777" w:rsidR="009F3C6C" w:rsidRPr="004852E8" w:rsidRDefault="009F3C6C" w:rsidP="009F3C6C">
            <w:pPr>
              <w:pStyle w:val="ListParagraph"/>
              <w:numPr>
                <w:ilvl w:val="1"/>
                <w:numId w:val="8"/>
              </w:numPr>
              <w:rPr>
                <w:i/>
              </w:rPr>
            </w:pPr>
            <w:r w:rsidRPr="004852E8">
              <w:rPr>
                <w:i/>
              </w:rPr>
              <w:lastRenderedPageBreak/>
              <w:t>ASCWU involvement in action planning and implementation from student perspective.</w:t>
            </w:r>
          </w:p>
          <w:p w14:paraId="22B13FEE" w14:textId="77777777" w:rsidR="009F3C6C" w:rsidRDefault="009F3C6C" w:rsidP="009F3C6C">
            <w:r>
              <w:t>Goal 2: Elevate shared governance and collaboration across the university and advance professional development and leadership opportunities that demonstrate the value of our human resources and that build a strong, united university community.</w:t>
            </w:r>
          </w:p>
          <w:p w14:paraId="04EE4523" w14:textId="77777777" w:rsidR="009F3C6C" w:rsidRDefault="009F3C6C" w:rsidP="009F3C6C">
            <w:pPr>
              <w:pStyle w:val="ListParagraph"/>
              <w:numPr>
                <w:ilvl w:val="0"/>
                <w:numId w:val="8"/>
              </w:numPr>
            </w:pPr>
            <w:r>
              <w:t>Initiative 2.1: Create a university-wide committee consisting of representatives from faculty, staff, students, administrators, and trustees to study shared governance, review our shared governance practices, and create a national model for shared governance at CWU.</w:t>
            </w:r>
          </w:p>
          <w:p w14:paraId="43DF019E" w14:textId="77777777" w:rsidR="009F3C6C" w:rsidRDefault="009F3C6C" w:rsidP="009F3C6C">
            <w:pPr>
              <w:pStyle w:val="ListParagraph"/>
              <w:numPr>
                <w:ilvl w:val="1"/>
                <w:numId w:val="8"/>
              </w:numPr>
            </w:pPr>
            <w:r w:rsidRPr="004852E8">
              <w:rPr>
                <w:i/>
              </w:rPr>
              <w:t>ASCWU involvement in shared governance committee and practices</w:t>
            </w:r>
            <w:r>
              <w:t>.</w:t>
            </w:r>
          </w:p>
          <w:p w14:paraId="5D4DE330" w14:textId="77777777" w:rsidR="009F3C6C" w:rsidRDefault="009F3C6C" w:rsidP="009F3C6C">
            <w:pPr>
              <w:pStyle w:val="ListParagraph"/>
              <w:numPr>
                <w:ilvl w:val="0"/>
                <w:numId w:val="8"/>
              </w:numPr>
            </w:pPr>
            <w:r>
              <w:t>Initiative 2.2: Elevate the application of emotional intelligence, equity-mindedness, collaboration, inclusion, and deep care through professional development and mentoring centered on building a model of leadership-in-place at CWU.</w:t>
            </w:r>
          </w:p>
          <w:p w14:paraId="10118BA5" w14:textId="77777777" w:rsidR="009F3C6C" w:rsidRDefault="009F3C6C" w:rsidP="009F3C6C">
            <w:pPr>
              <w:pStyle w:val="ListParagraph"/>
              <w:numPr>
                <w:ilvl w:val="1"/>
                <w:numId w:val="8"/>
              </w:numPr>
            </w:pPr>
            <w:r w:rsidRPr="004852E8">
              <w:rPr>
                <w:i/>
              </w:rPr>
              <w:t>Incorporated into ASCWU Executive Board professional development and training</w:t>
            </w:r>
            <w:r>
              <w:t xml:space="preserve">. </w:t>
            </w:r>
            <w:r w:rsidRPr="004852E8">
              <w:rPr>
                <w:i/>
              </w:rPr>
              <w:t>Mentoring of principles to Executive Board from ASCWU Advisor.</w:t>
            </w:r>
          </w:p>
          <w:p w14:paraId="0C26FF4D" w14:textId="77777777" w:rsidR="009F3C6C" w:rsidRDefault="009F3C6C" w:rsidP="009F3C6C">
            <w:r>
              <w:t>Goal 3: Implement values-based budgeting to ensure the efficient and effective use of fiscal resources and the long-term fiscal sustainability of the university.</w:t>
            </w:r>
          </w:p>
          <w:p w14:paraId="4F1CF5F4" w14:textId="77777777" w:rsidR="009F3C6C" w:rsidRDefault="009F3C6C" w:rsidP="009F3C6C">
            <w:pPr>
              <w:pStyle w:val="ListParagraph"/>
              <w:numPr>
                <w:ilvl w:val="0"/>
                <w:numId w:val="9"/>
              </w:numPr>
            </w:pPr>
            <w:r>
              <w:t>Initiative 3.2: Reduce redundancies and inefficiencies in goods and services costs and develop mechanisms to monitor and control spending in support of the vision, mission, values, and strategic plan.</w:t>
            </w:r>
          </w:p>
          <w:p w14:paraId="7F1ACC5C" w14:textId="25146856" w:rsidR="00D93820" w:rsidRDefault="009F3C6C" w:rsidP="009F3C6C">
            <w:pPr>
              <w:pStyle w:val="ListParagraph"/>
              <w:ind w:left="0"/>
            </w:pPr>
            <w:r w:rsidRPr="004852E8">
              <w:rPr>
                <w:i/>
              </w:rPr>
              <w:t>ASCWU review budget and expenses with goal of reducing redundancies and inefficiencies in goods and services costs.</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03FED242" w:rsidR="00D93820" w:rsidRDefault="00AE4CC0" w:rsidP="00AE4CC0">
            <w:pPr>
              <w:pStyle w:val="Default"/>
            </w:pPr>
            <w:r>
              <w:rPr>
                <w:sz w:val="22"/>
                <w:szCs w:val="22"/>
              </w:rPr>
              <w:t>All students</w:t>
            </w:r>
            <w:r>
              <w:rPr>
                <w:sz w:val="22"/>
                <w:szCs w:val="22"/>
              </w:rPr>
              <w:t xml:space="preserve"> at CWU </w:t>
            </w:r>
            <w:proofErr w:type="gramStart"/>
            <w:r>
              <w:rPr>
                <w:sz w:val="22"/>
                <w:szCs w:val="22"/>
              </w:rPr>
              <w:t>are served</w:t>
            </w:r>
            <w:proofErr w:type="gramEnd"/>
            <w:r>
              <w:rPr>
                <w:sz w:val="22"/>
                <w:szCs w:val="22"/>
              </w:rPr>
              <w:t xml:space="preserve"> through ASCWU Student Life &amp; Facilities </w:t>
            </w:r>
            <w:r>
              <w:rPr>
                <w:sz w:val="22"/>
                <w:szCs w:val="22"/>
              </w:rPr>
              <w:t xml:space="preserve">but currently demographic data is not tracked beyond the SURC governance utilization </w:t>
            </w:r>
            <w:r>
              <w:rPr>
                <w:sz w:val="22"/>
                <w:szCs w:val="22"/>
              </w:rPr>
              <w:t>and advisory boards</w:t>
            </w:r>
            <w:r>
              <w:rPr>
                <w:sz w:val="22"/>
                <w:szCs w:val="22"/>
              </w:rPr>
              <w:t xml:space="preserve">. </w:t>
            </w:r>
            <w:r>
              <w:t xml:space="preserve">SURC Governance </w:t>
            </w:r>
            <w:r>
              <w:t xml:space="preserve">partners </w:t>
            </w:r>
            <w:r>
              <w:t>provide direct data on utilization and demographics as available</w:t>
            </w:r>
            <w:r>
              <w:t>.</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40CE2CFF" w14:textId="57B5DDE6" w:rsidR="00D93820" w:rsidRDefault="00AE4CC0" w:rsidP="00AE4CC0">
            <w:pPr>
              <w:pStyle w:val="ListParagraph"/>
              <w:ind w:left="0"/>
            </w:pPr>
            <w:r>
              <w:t xml:space="preserve">All students at CWU </w:t>
            </w:r>
            <w:proofErr w:type="gramStart"/>
            <w:r>
              <w:t>are served</w:t>
            </w:r>
            <w:proofErr w:type="gramEnd"/>
            <w:r>
              <w:t xml:space="preserve"> through ASCWU Student Life &amp; Facilities</w:t>
            </w:r>
            <w:r>
              <w:t>, but there is not current tracking of unique student utilization of Student Life &amp; Facilities programs or initiatives individually. SURC Governance partners provide direct data on utilization and demographics as available, but unique student data is often not capture.</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002CA743" w:rsidR="00D93820" w:rsidRDefault="00AE4CC0" w:rsidP="006E7B8E">
            <w:pPr>
              <w:pStyle w:val="ListParagraph"/>
              <w:ind w:left="0"/>
            </w:pPr>
            <w:r>
              <w:lastRenderedPageBreak/>
              <w:t>The Wellington mascot position has not had all positions filled in an effort to be mindful of budget constraints.</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0B1F45C0" w:rsidR="00D93820" w:rsidRDefault="00AE4CC0" w:rsidP="006E7B8E">
            <w:pPr>
              <w:pStyle w:val="ListParagraph"/>
              <w:ind w:left="0"/>
            </w:pPr>
            <w:r>
              <w:t xml:space="preserve">As alluded to in question #8, the Wellington mascot position has multiple positions that </w:t>
            </w:r>
            <w:proofErr w:type="gramStart"/>
            <w:r>
              <w:t>have not been filled</w:t>
            </w:r>
            <w:proofErr w:type="gramEnd"/>
            <w:r>
              <w:t xml:space="preserve"> in an effort to be mindful of budget constraints and unaware of reduction impacts.</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4ACA30DB" w:rsidR="00D93820" w:rsidRDefault="00AE4CC0" w:rsidP="006E7B8E">
            <w:pPr>
              <w:pStyle w:val="ListParagraph"/>
              <w:ind w:left="0"/>
            </w:pPr>
            <w:r>
              <w:t>N/A</w:t>
            </w:r>
          </w:p>
        </w:tc>
      </w:tr>
    </w:tbl>
    <w:p w14:paraId="5839B146" w14:textId="77777777" w:rsidR="00D93820" w:rsidRDefault="00D93820"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769FAB48" w:rsidR="00355A52" w:rsidRDefault="00AE4CC0" w:rsidP="00A67F13">
            <w:pPr>
              <w:pStyle w:val="ListParagraph"/>
              <w:ind w:left="0"/>
            </w:pPr>
            <w:r>
              <w:t>ASCWU Student Life &amp; Facilities is 100% S&amp;A fee funded with no other funding support.</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7A1F5C72" w:rsidR="00D93820" w:rsidRDefault="00AE4CC0" w:rsidP="006E7B8E">
            <w:pPr>
              <w:pStyle w:val="ListParagraph"/>
              <w:ind w:left="0"/>
            </w:pPr>
            <w:r>
              <w:t>Cost of living and minimum wage increases will have a direct impact on expenses in the future</w:t>
            </w:r>
            <w:bookmarkStart w:id="0" w:name="_GoBack"/>
            <w:bookmarkEnd w:id="0"/>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F6B"/>
    <w:multiLevelType w:val="hybridMultilevel"/>
    <w:tmpl w:val="1CF2B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122F"/>
    <w:multiLevelType w:val="hybridMultilevel"/>
    <w:tmpl w:val="879A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A4700"/>
    <w:multiLevelType w:val="hybridMultilevel"/>
    <w:tmpl w:val="FBCEA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8651B"/>
    <w:multiLevelType w:val="hybridMultilevel"/>
    <w:tmpl w:val="40B49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C1C68"/>
    <w:multiLevelType w:val="hybridMultilevel"/>
    <w:tmpl w:val="102CE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F3D7E"/>
    <w:multiLevelType w:val="hybridMultilevel"/>
    <w:tmpl w:val="0634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528D0"/>
    <w:multiLevelType w:val="hybridMultilevel"/>
    <w:tmpl w:val="C9508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D"/>
    <w:rsid w:val="000215D1"/>
    <w:rsid w:val="0014691D"/>
    <w:rsid w:val="00161F09"/>
    <w:rsid w:val="001D7E12"/>
    <w:rsid w:val="002B25D0"/>
    <w:rsid w:val="002F4144"/>
    <w:rsid w:val="00355A52"/>
    <w:rsid w:val="00427919"/>
    <w:rsid w:val="004A6FB5"/>
    <w:rsid w:val="004D3841"/>
    <w:rsid w:val="00506013"/>
    <w:rsid w:val="005D542D"/>
    <w:rsid w:val="0066513A"/>
    <w:rsid w:val="006832C8"/>
    <w:rsid w:val="006E2BFB"/>
    <w:rsid w:val="0080261E"/>
    <w:rsid w:val="00820230"/>
    <w:rsid w:val="009C5D26"/>
    <w:rsid w:val="009F3C6C"/>
    <w:rsid w:val="00AE4CC0"/>
    <w:rsid w:val="00B075D9"/>
    <w:rsid w:val="00C270EC"/>
    <w:rsid w:val="00D93820"/>
    <w:rsid w:val="00DF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paragraph" w:customStyle="1" w:styleId="Default">
    <w:name w:val="Default"/>
    <w:rsid w:val="00AE4C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Joseph Bryant</cp:lastModifiedBy>
  <cp:revision>5</cp:revision>
  <dcterms:created xsi:type="dcterms:W3CDTF">2023-12-22T23:03:00Z</dcterms:created>
  <dcterms:modified xsi:type="dcterms:W3CDTF">2023-12-23T00:06:00Z</dcterms:modified>
</cp:coreProperties>
</file>