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09907F28" w:rsidR="00427919" w:rsidRDefault="00C82962" w:rsidP="0014691D">
            <w:r>
              <w:t>Theatre Arts Student Employment</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5E203107" w:rsidR="00427919" w:rsidRDefault="00C82962" w:rsidP="0014691D">
            <w:r>
              <w:t>Christina Barrigan</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2E7AEB26" w14:textId="77777777" w:rsidR="00C82962" w:rsidRDefault="00C82962" w:rsidP="00C82962">
            <w:pPr>
              <w:pStyle w:val="ListParagraph"/>
              <w:ind w:left="0"/>
            </w:pPr>
            <w:r>
              <w:t xml:space="preserve">We provide students an employment opportunity in fabrication shops and entertainment venue that helps them root academic experiences in the professional world, experience a typical work environment, and develop pertinent experience easing the transition from University study to the workplace. We are the only organization within 35 miles of Ellensburg to offer theatre-based entertainment work, and the only fabrication shops operating during the academic year within 100 miles.  </w:t>
            </w:r>
          </w:p>
          <w:p w14:paraId="3C9BCEEC" w14:textId="77777777" w:rsidR="00C82962" w:rsidRDefault="00C82962" w:rsidP="00C82962">
            <w:pPr>
              <w:pStyle w:val="ListParagraph"/>
              <w:ind w:left="0"/>
            </w:pPr>
          </w:p>
          <w:p w14:paraId="4C1ABF8C" w14:textId="30B97A8E" w:rsidR="00D93820" w:rsidRDefault="00C82962" w:rsidP="00C82962">
            <w:pPr>
              <w:pStyle w:val="ListParagraph"/>
              <w:ind w:left="0"/>
            </w:pPr>
            <w:r>
              <w:t xml:space="preserve">The results of these activities are public events </w:t>
            </w:r>
            <w:r w:rsidR="000C22DF">
              <w:t>that</w:t>
            </w:r>
            <w:r>
              <w:t xml:space="preserve"> enrich the campus community.</w:t>
            </w:r>
            <w:r w:rsidR="000C22DF">
              <w:t xml:space="preserve"> And the creation of Film projects that are available to the wider </w:t>
            </w:r>
            <w:r w:rsidR="00F56D1F">
              <w:t>film</w:t>
            </w:r>
            <w:r w:rsidR="000C22DF">
              <w:t xml:space="preserve"> community.</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118BE651" w14:textId="77777777" w:rsidR="00C82962" w:rsidRDefault="00C82962" w:rsidP="00C82962">
            <w:pPr>
              <w:pStyle w:val="ListParagraph"/>
              <w:ind w:left="0"/>
            </w:pPr>
            <w:r>
              <w:t xml:space="preserve">Our goals include the successful construction, installation, and facilitation of theatrical events in the McConnell auditorium and Tower Theatres. One measure of success is the completion of these activities. </w:t>
            </w:r>
          </w:p>
          <w:p w14:paraId="3F0F6F8B" w14:textId="77777777" w:rsidR="00C82962" w:rsidRDefault="00C82962" w:rsidP="00C82962">
            <w:pPr>
              <w:pStyle w:val="ListParagraph"/>
              <w:ind w:left="0"/>
            </w:pPr>
            <w:r>
              <w:t>Another goal is to offer students the opportunity to gain skills in a professional environment and build workplace skills. We are currently working on more granular assessment tools to offer greater structure to the employee experience, assess it’s overall success, and identify areas for improvement.</w:t>
            </w:r>
          </w:p>
          <w:p w14:paraId="4E36F13A" w14:textId="77777777" w:rsidR="00C82962" w:rsidRDefault="00C82962" w:rsidP="00C82962">
            <w:pPr>
              <w:pStyle w:val="ListParagraph"/>
              <w:ind w:left="0"/>
            </w:pPr>
          </w:p>
          <w:p w14:paraId="2CD10DB8" w14:textId="591CC3FD" w:rsidR="00C82962" w:rsidRPr="001D1783" w:rsidRDefault="001D1783" w:rsidP="00C82962">
            <w:pPr>
              <w:pStyle w:val="ListParagraph"/>
              <w:ind w:left="0"/>
              <w:rPr>
                <w:color w:val="000000" w:themeColor="text1"/>
              </w:rPr>
            </w:pPr>
            <w:r w:rsidRPr="001D1783">
              <w:rPr>
                <w:color w:val="000000" w:themeColor="text1"/>
              </w:rPr>
              <w:t>Assessment of this program is in the rubric development phase. We have identified objectives and are now developing rubrics to measure success.</w:t>
            </w:r>
          </w:p>
          <w:p w14:paraId="7F61E9CD" w14:textId="77777777" w:rsidR="00D93820" w:rsidRDefault="00D93820"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1BD8089C" w14:textId="77777777" w:rsidR="00C82962" w:rsidRDefault="00C82962" w:rsidP="00C82962">
            <w:pPr>
              <w:pStyle w:val="ListParagraph"/>
              <w:ind w:left="0"/>
            </w:pPr>
            <w:r>
              <w:t xml:space="preserve">We provide students an employment opportunity in fabrication shops and entertainment venue that does not exist within a reasonable daily commute to Ellensburg. The products of these activities support community use of CWU venues and provide support for some cocurricular activities in Theatre Arts. </w:t>
            </w:r>
          </w:p>
          <w:p w14:paraId="49CF1253" w14:textId="77777777" w:rsidR="00C82962" w:rsidRDefault="00C82962" w:rsidP="00C82962">
            <w:pPr>
              <w:pStyle w:val="ListParagraph"/>
              <w:ind w:left="0"/>
            </w:pPr>
          </w:p>
          <w:p w14:paraId="27FEE933" w14:textId="77777777" w:rsidR="00C82962" w:rsidRDefault="00C82962" w:rsidP="00C82962">
            <w:pPr>
              <w:pStyle w:val="ListParagraph"/>
              <w:numPr>
                <w:ilvl w:val="0"/>
                <w:numId w:val="3"/>
              </w:numPr>
            </w:pPr>
            <w:r>
              <w:t xml:space="preserve">Employment in the SURC events area may be considered a similar area, but does not offer fabrication experience or work with theatre machinery in support of events. It is similar but not equivalent.   </w:t>
            </w:r>
          </w:p>
          <w:p w14:paraId="087848F0" w14:textId="77777777" w:rsidR="00D93820" w:rsidRDefault="00D93820" w:rsidP="006E7B8E">
            <w:pPr>
              <w:pStyle w:val="ListParagraph"/>
              <w:ind w:left="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27D5AE8D" w:rsidR="00D93820" w:rsidRDefault="00C82962" w:rsidP="006E7B8E">
            <w:pPr>
              <w:pStyle w:val="ListParagraph"/>
              <w:ind w:left="0"/>
            </w:pPr>
            <w:r>
              <w:t xml:space="preserve">Students involved in our employment program apply skills gained in classes to real world situations thereby creating a cocurricular experience. The products of this employment supporting public events helps support co curricular and extra curricular experiences for the whole campus.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41C7A2C" w14:textId="77777777" w:rsidR="00C82962" w:rsidRDefault="00C82962" w:rsidP="00C82962">
            <w:pPr>
              <w:pStyle w:val="ListParagraph"/>
              <w:ind w:left="0"/>
            </w:pPr>
            <w:r>
              <w:t xml:space="preserve">CWU’s New Mission is: </w:t>
            </w:r>
          </w:p>
          <w:p w14:paraId="0387E6D2" w14:textId="77777777" w:rsidR="00C82962" w:rsidRPr="00223873" w:rsidRDefault="00C82962" w:rsidP="00C82962">
            <w:pPr>
              <w:pStyle w:val="NormalWeb"/>
              <w:shd w:val="clear" w:color="auto" w:fill="FEFEFE"/>
              <w:rPr>
                <w:rFonts w:ascii="Helvetica" w:hAnsi="Helvetica" w:cs="Helvetica"/>
                <w:color w:val="0A0A0A"/>
                <w:sz w:val="22"/>
                <w:szCs w:val="22"/>
              </w:rPr>
            </w:pPr>
            <w:r w:rsidRPr="00223873">
              <w:rPr>
                <w:rStyle w:val="Strong"/>
                <w:rFonts w:ascii="Helvetica" w:hAnsi="Helvetica" w:cs="Helvetica"/>
                <w:color w:val="0A0A0A"/>
                <w:sz w:val="22"/>
                <w:szCs w:val="22"/>
              </w:rPr>
              <w:t>Vision</w:t>
            </w:r>
            <w:r w:rsidRPr="00223873">
              <w:rPr>
                <w:rFonts w:ascii="Helvetica" w:hAnsi="Helvetica" w:cs="Helvetica"/>
                <w:color w:val="0A0A0A"/>
                <w:sz w:val="22"/>
                <w:szCs w:val="22"/>
              </w:rPr>
              <w:t>: Central Washington University will be a model learning community of equity and belonging.</w:t>
            </w:r>
          </w:p>
          <w:p w14:paraId="0FAEAB15" w14:textId="77777777" w:rsidR="00C82962" w:rsidRPr="00223873" w:rsidRDefault="00C82962" w:rsidP="00C82962">
            <w:pPr>
              <w:pStyle w:val="NormalWeb"/>
              <w:shd w:val="clear" w:color="auto" w:fill="FEFEFE"/>
              <w:rPr>
                <w:rFonts w:ascii="Helvetica" w:hAnsi="Helvetica" w:cs="Helvetica"/>
                <w:color w:val="0A0A0A"/>
                <w:sz w:val="22"/>
                <w:szCs w:val="22"/>
              </w:rPr>
            </w:pPr>
            <w:r w:rsidRPr="00223873">
              <w:rPr>
                <w:rStyle w:val="Strong"/>
                <w:rFonts w:ascii="Helvetica" w:hAnsi="Helvetica" w:cs="Helvetica"/>
                <w:color w:val="0A0A0A"/>
                <w:sz w:val="22"/>
                <w:szCs w:val="22"/>
              </w:rPr>
              <w:t>Mission</w:t>
            </w:r>
            <w:r w:rsidRPr="00223873">
              <w:rPr>
                <w:rFonts w:ascii="Helvetica" w:hAnsi="Helvetica" w:cs="Helvetica"/>
                <w:color w:val="0A0A0A"/>
                <w:sz w:val="22"/>
                <w:szCs w:val="22"/>
              </w:rPr>
              <w:t>: In order to build a community of equity and belonging, Central Washington University nurtures culturally sustaining practices that expand access and success to all students. We are committed to fostering high impact practices, sustainability, and authentic community partnerships that are grounded in meaningful relationships.</w:t>
            </w:r>
          </w:p>
          <w:p w14:paraId="3AE5FF39" w14:textId="77777777" w:rsidR="00C82962" w:rsidRDefault="00C82962" w:rsidP="00C82962">
            <w:pPr>
              <w:pStyle w:val="ListParagraph"/>
              <w:ind w:left="0"/>
            </w:pPr>
            <w:r>
              <w:t xml:space="preserve">This program supports the above stated mission by offering students the opportunity to practice applying their skills in a professionally modelled fabrication shop where they work one-on-one with faculty and staff in an apprentice-like environment. Often, this work asks the student employees to take lead on projects and work with a “client” as either a larger project that has specifically articulated needs, or a community partner using our facilities. These opportunities are High Impact Learning Practices. </w:t>
            </w:r>
          </w:p>
          <w:p w14:paraId="247D0932" w14:textId="77777777" w:rsidR="00C82962" w:rsidRDefault="00C82962" w:rsidP="00C82962">
            <w:pPr>
              <w:pStyle w:val="ListParagraph"/>
              <w:ind w:left="0"/>
            </w:pPr>
          </w:p>
          <w:p w14:paraId="6BD694AF" w14:textId="77777777" w:rsidR="00C82962" w:rsidRDefault="00C82962" w:rsidP="00C82962">
            <w:pPr>
              <w:pStyle w:val="ListParagraph"/>
              <w:ind w:left="0"/>
            </w:pPr>
            <w:r>
              <w:t xml:space="preserve">As per the old strategic plan as the University develops a new one: </w:t>
            </w:r>
          </w:p>
          <w:p w14:paraId="2212EF64" w14:textId="77777777" w:rsidR="00C82962" w:rsidRDefault="00C82962" w:rsidP="00C82962">
            <w:pPr>
              <w:pStyle w:val="ListParagraph"/>
              <w:ind w:left="0"/>
            </w:pPr>
            <w:r w:rsidRPr="007A6A0D">
              <w:rPr>
                <w:rFonts w:ascii="Arial" w:hAnsi="Arial" w:cs="Arial"/>
                <w:shd w:val="clear" w:color="auto" w:fill="FFFFFF"/>
              </w:rPr>
              <w:t>These student employment opportunities address the following strategic outcomes as per the Strategic plan found here:</w:t>
            </w:r>
            <w:r>
              <w:rPr>
                <w:rFonts w:ascii="Arial" w:hAnsi="Arial" w:cs="Arial"/>
                <w:sz w:val="24"/>
                <w:szCs w:val="24"/>
                <w:shd w:val="clear" w:color="auto" w:fill="FFFFFF"/>
              </w:rPr>
              <w:t xml:space="preserve"> </w:t>
            </w:r>
            <w:hyperlink r:id="rId6" w:history="1">
              <w:r>
                <w:rPr>
                  <w:rStyle w:val="Hyperlink"/>
                </w:rPr>
                <w:t>Microsoft Word - CWU Strategic Plan Fall 2018.docx</w:t>
              </w:r>
            </w:hyperlink>
          </w:p>
          <w:p w14:paraId="4B76A5DF" w14:textId="77777777" w:rsidR="00C82962" w:rsidRPr="00C21FC5" w:rsidRDefault="00C82962" w:rsidP="00C82962">
            <w:pPr>
              <w:pStyle w:val="ListParagraph"/>
              <w:ind w:left="0"/>
              <w:rPr>
                <w:b/>
                <w:bCs/>
              </w:rPr>
            </w:pPr>
            <w:r w:rsidRPr="00C21FC5">
              <w:rPr>
                <w:b/>
                <w:bCs/>
              </w:rPr>
              <w:t>Objective 1.1: Enhance student success by continually improving curricular, co-curricular, and extracurricular programs</w:t>
            </w:r>
          </w:p>
          <w:p w14:paraId="21C62DFC" w14:textId="77777777" w:rsidR="00C82962" w:rsidRDefault="00C82962" w:rsidP="00C82962">
            <w:pPr>
              <w:pStyle w:val="ListParagraph"/>
              <w:ind w:left="0"/>
            </w:pPr>
            <w:r>
              <w:t xml:space="preserve">Outcome 1.1.1: Students will achieve programmatic learning outcomes. </w:t>
            </w:r>
          </w:p>
          <w:p w14:paraId="4ADEEB72" w14:textId="77777777" w:rsidR="00C82962" w:rsidRDefault="00C82962" w:rsidP="00C82962">
            <w:pPr>
              <w:pStyle w:val="ListParagraph"/>
              <w:ind w:left="0"/>
            </w:pPr>
            <w:r>
              <w:t xml:space="preserve">     Indicator 1.1.1.3: Post-graduation job and graduate/professional school placement rates.</w:t>
            </w:r>
          </w:p>
          <w:p w14:paraId="64FB5884" w14:textId="77777777" w:rsidR="00C82962" w:rsidRDefault="00C82962" w:rsidP="00C82962">
            <w:pPr>
              <w:pStyle w:val="ListParagraph"/>
              <w:ind w:left="0"/>
            </w:pPr>
            <w:r>
              <w:t>Outcome 1.1.3: Students and faculty will be increasingly engaged in the learning process in and outside of the classroom.</w:t>
            </w:r>
          </w:p>
          <w:p w14:paraId="197FB392" w14:textId="77777777" w:rsidR="00C82962" w:rsidRDefault="00C82962" w:rsidP="00C82962">
            <w:pPr>
              <w:pStyle w:val="ListParagraph"/>
              <w:ind w:left="0"/>
            </w:pPr>
          </w:p>
          <w:p w14:paraId="5318A5EE" w14:textId="77777777" w:rsidR="00C82962" w:rsidRPr="00C21FC5" w:rsidRDefault="00C82962" w:rsidP="00C82962">
            <w:pPr>
              <w:pStyle w:val="ListParagraph"/>
              <w:ind w:left="0"/>
              <w:rPr>
                <w:b/>
                <w:bCs/>
              </w:rPr>
            </w:pPr>
            <w:r w:rsidRPr="00C21FC5">
              <w:rPr>
                <w:b/>
                <w:bCs/>
              </w:rPr>
              <w:t xml:space="preserve">Objective 4.1: Enhance the level of engagement, collaboration, and goodwill between the university and surrounding communities. </w:t>
            </w:r>
          </w:p>
          <w:p w14:paraId="73A276A5" w14:textId="77777777" w:rsidR="00C82962" w:rsidRDefault="00C82962" w:rsidP="00C82962">
            <w:pPr>
              <w:pStyle w:val="ListParagraph"/>
              <w:ind w:left="0"/>
            </w:pPr>
            <w:r>
              <w:t>Outcome 4.1.1: Increase campus and surrounding communities’ participation in CWU cultural, educational, service, and recreational activities, such as performances, exhibitions, presentations, and sporting events.</w:t>
            </w:r>
          </w:p>
          <w:p w14:paraId="3AAE9A51" w14:textId="77777777" w:rsidR="00C82962" w:rsidRDefault="00C82962" w:rsidP="00C82962">
            <w:pPr>
              <w:pStyle w:val="ListParagraph"/>
              <w:ind w:left="0"/>
            </w:pPr>
            <w:r>
              <w:lastRenderedPageBreak/>
              <w:t xml:space="preserve">        Indicator 4.1.1.1: Annual number of cultural, educational, service, and recreational activities, such as performances, exhibitions, presentations, and sporting events, available to CWU and its surrounding communities from academic year 2009-10 through academic year 2017-18.</w:t>
            </w:r>
          </w:p>
          <w:p w14:paraId="5762F15D" w14:textId="77777777" w:rsidR="00C82962" w:rsidRDefault="00C82962" w:rsidP="00C82962">
            <w:pPr>
              <w:pStyle w:val="ListParagraph"/>
              <w:ind w:left="0"/>
            </w:pPr>
            <w:r>
              <w:t xml:space="preserve"> Outcome 4.1.2: Increase the number of collaborations and partnerships with surrounding community entities and organizations.</w:t>
            </w:r>
          </w:p>
          <w:p w14:paraId="7F1ACC5C" w14:textId="77777777" w:rsidR="00D93820" w:rsidRDefault="00D93820" w:rsidP="006E7B8E">
            <w:pPr>
              <w:pStyle w:val="ListParagraph"/>
              <w:ind w:left="0"/>
            </w:pP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4B88825E" w14:textId="3306497F" w:rsidR="00A15B7A" w:rsidRPr="009D398F" w:rsidRDefault="00A15B7A" w:rsidP="00A15B7A">
            <w:pPr>
              <w:pStyle w:val="ListParagraph"/>
              <w:ind w:left="0"/>
              <w:rPr>
                <w:color w:val="000000" w:themeColor="text1"/>
              </w:rPr>
            </w:pPr>
            <w:r w:rsidRPr="009D398F">
              <w:rPr>
                <w:color w:val="000000" w:themeColor="text1"/>
              </w:rPr>
              <w:t xml:space="preserve">Of the </w:t>
            </w:r>
            <w:r w:rsidR="009D398F" w:rsidRPr="009D398F">
              <w:rPr>
                <w:color w:val="000000" w:themeColor="text1"/>
              </w:rPr>
              <w:t>32</w:t>
            </w:r>
            <w:r w:rsidRPr="009D398F">
              <w:rPr>
                <w:color w:val="000000" w:themeColor="text1"/>
              </w:rPr>
              <w:t xml:space="preserve"> employed students: </w:t>
            </w:r>
          </w:p>
          <w:p w14:paraId="4EFE293D" w14:textId="05719A8D" w:rsidR="00A15B7A" w:rsidRPr="009D398F" w:rsidRDefault="009D398F" w:rsidP="00A15B7A">
            <w:pPr>
              <w:pStyle w:val="ListParagraph"/>
              <w:ind w:left="0"/>
              <w:rPr>
                <w:color w:val="000000" w:themeColor="text1"/>
              </w:rPr>
            </w:pPr>
            <w:r w:rsidRPr="009D398F">
              <w:rPr>
                <w:color w:val="000000" w:themeColor="text1"/>
              </w:rPr>
              <w:t>6.25</w:t>
            </w:r>
            <w:r w:rsidR="00A15B7A" w:rsidRPr="009D398F">
              <w:rPr>
                <w:color w:val="000000" w:themeColor="text1"/>
              </w:rPr>
              <w:t>%   first years</w:t>
            </w:r>
          </w:p>
          <w:p w14:paraId="0780E1E1" w14:textId="6AA96A03" w:rsidR="00A15B7A" w:rsidRPr="009D398F" w:rsidRDefault="009D398F" w:rsidP="00A15B7A">
            <w:pPr>
              <w:pStyle w:val="ListParagraph"/>
              <w:ind w:left="0"/>
              <w:rPr>
                <w:color w:val="000000" w:themeColor="text1"/>
              </w:rPr>
            </w:pPr>
            <w:r w:rsidRPr="009D398F">
              <w:rPr>
                <w:color w:val="000000" w:themeColor="text1"/>
              </w:rPr>
              <w:t>24.24</w:t>
            </w:r>
            <w:r w:rsidR="00A15B7A" w:rsidRPr="009D398F">
              <w:rPr>
                <w:color w:val="000000" w:themeColor="text1"/>
              </w:rPr>
              <w:t>% sophomore</w:t>
            </w:r>
          </w:p>
          <w:p w14:paraId="76662A9C" w14:textId="7C6796E5" w:rsidR="00A15B7A" w:rsidRPr="009D398F" w:rsidRDefault="009D398F" w:rsidP="00A15B7A">
            <w:pPr>
              <w:pStyle w:val="ListParagraph"/>
              <w:ind w:left="0"/>
              <w:rPr>
                <w:color w:val="000000" w:themeColor="text1"/>
              </w:rPr>
            </w:pPr>
            <w:r w:rsidRPr="009D398F">
              <w:rPr>
                <w:color w:val="000000" w:themeColor="text1"/>
              </w:rPr>
              <w:t>33.33</w:t>
            </w:r>
            <w:r w:rsidR="00A15B7A" w:rsidRPr="009D398F">
              <w:rPr>
                <w:color w:val="000000" w:themeColor="text1"/>
              </w:rPr>
              <w:t>% juniors</w:t>
            </w:r>
          </w:p>
          <w:p w14:paraId="487D9384" w14:textId="1FA7D18B" w:rsidR="00A15B7A" w:rsidRDefault="009D398F" w:rsidP="00A15B7A">
            <w:pPr>
              <w:pStyle w:val="ListParagraph"/>
              <w:ind w:left="0"/>
              <w:rPr>
                <w:color w:val="000000" w:themeColor="text1"/>
              </w:rPr>
            </w:pPr>
            <w:r w:rsidRPr="009D398F">
              <w:rPr>
                <w:color w:val="000000" w:themeColor="text1"/>
              </w:rPr>
              <w:t>33.33</w:t>
            </w:r>
            <w:r w:rsidR="00A15B7A" w:rsidRPr="009D398F">
              <w:rPr>
                <w:color w:val="000000" w:themeColor="text1"/>
              </w:rPr>
              <w:t>% seniors preparing for the transition to the workplace</w:t>
            </w:r>
          </w:p>
          <w:p w14:paraId="041E8071" w14:textId="21321258" w:rsidR="009D398F" w:rsidRDefault="009D398F" w:rsidP="00A15B7A">
            <w:pPr>
              <w:pStyle w:val="ListParagraph"/>
              <w:ind w:left="0"/>
              <w:rPr>
                <w:color w:val="000000" w:themeColor="text1"/>
              </w:rPr>
            </w:pPr>
          </w:p>
          <w:p w14:paraId="18F682A7" w14:textId="649A75DA" w:rsidR="009D398F" w:rsidRDefault="009D398F" w:rsidP="00A15B7A">
            <w:pPr>
              <w:pStyle w:val="ListParagraph"/>
              <w:ind w:left="0"/>
              <w:rPr>
                <w:color w:val="000000" w:themeColor="text1"/>
              </w:rPr>
            </w:pPr>
            <w:r>
              <w:rPr>
                <w:color w:val="000000" w:themeColor="text1"/>
              </w:rPr>
              <w:t xml:space="preserve">Gender Identity Breakdown is: </w:t>
            </w:r>
          </w:p>
          <w:p w14:paraId="14A826EF" w14:textId="03B208B1" w:rsidR="009D398F" w:rsidRDefault="009D398F" w:rsidP="00A15B7A">
            <w:pPr>
              <w:pStyle w:val="ListParagraph"/>
              <w:ind w:left="0"/>
              <w:rPr>
                <w:color w:val="000000" w:themeColor="text1"/>
              </w:rPr>
            </w:pPr>
            <w:r>
              <w:rPr>
                <w:color w:val="000000" w:themeColor="text1"/>
              </w:rPr>
              <w:t>57% Female Identifying</w:t>
            </w:r>
          </w:p>
          <w:p w14:paraId="60042E23" w14:textId="07AA2160" w:rsidR="009D398F" w:rsidRDefault="009D398F" w:rsidP="00A15B7A">
            <w:pPr>
              <w:pStyle w:val="ListParagraph"/>
              <w:ind w:left="0"/>
              <w:rPr>
                <w:color w:val="000000" w:themeColor="text1"/>
              </w:rPr>
            </w:pPr>
            <w:r>
              <w:rPr>
                <w:color w:val="000000" w:themeColor="text1"/>
              </w:rPr>
              <w:t>33.33% Male Identifying</w:t>
            </w:r>
          </w:p>
          <w:p w14:paraId="24CF0B1C" w14:textId="720A73E8" w:rsidR="009D398F" w:rsidRPr="009D398F" w:rsidRDefault="009D398F" w:rsidP="00A15B7A">
            <w:pPr>
              <w:pStyle w:val="ListParagraph"/>
              <w:ind w:left="0"/>
              <w:rPr>
                <w:color w:val="000000" w:themeColor="text1"/>
              </w:rPr>
            </w:pPr>
            <w:r>
              <w:rPr>
                <w:color w:val="000000" w:themeColor="text1"/>
              </w:rPr>
              <w:t>9.09% Non-</w:t>
            </w:r>
            <w:r w:rsidR="000C22DF">
              <w:rPr>
                <w:color w:val="000000" w:themeColor="text1"/>
              </w:rPr>
              <w:t>binary</w:t>
            </w:r>
          </w:p>
          <w:p w14:paraId="1490F7B6" w14:textId="77777777" w:rsidR="00A15B7A" w:rsidRPr="00A15B7A" w:rsidRDefault="00A15B7A" w:rsidP="00A15B7A">
            <w:pPr>
              <w:pStyle w:val="ListParagraph"/>
              <w:ind w:left="0"/>
              <w:rPr>
                <w:color w:val="FF0000"/>
              </w:rPr>
            </w:pPr>
          </w:p>
          <w:p w14:paraId="5EF10430" w14:textId="493DD867" w:rsidR="00A15B7A" w:rsidRPr="00A15B7A" w:rsidRDefault="00A15B7A" w:rsidP="00A15B7A">
            <w:pPr>
              <w:pStyle w:val="ListParagraph"/>
              <w:ind w:left="0"/>
              <w:rPr>
                <w:color w:val="FF0000"/>
              </w:rPr>
            </w:pPr>
            <w:r w:rsidRPr="0064720E">
              <w:rPr>
                <w:color w:val="000000" w:themeColor="text1"/>
              </w:rPr>
              <w:t>1</w:t>
            </w:r>
            <w:r w:rsidR="0064720E" w:rsidRPr="0064720E">
              <w:rPr>
                <w:color w:val="000000" w:themeColor="text1"/>
              </w:rPr>
              <w:t>8</w:t>
            </w:r>
            <w:r w:rsidRPr="0064720E">
              <w:rPr>
                <w:color w:val="000000" w:themeColor="text1"/>
              </w:rPr>
              <w:t>% are no</w:t>
            </w:r>
            <w:r w:rsidR="0064720E" w:rsidRPr="0064720E">
              <w:rPr>
                <w:color w:val="000000" w:themeColor="text1"/>
              </w:rPr>
              <w:t>t theatre or film</w:t>
            </w:r>
            <w:r w:rsidRPr="0064720E">
              <w:rPr>
                <w:color w:val="000000" w:themeColor="text1"/>
              </w:rPr>
              <w:t xml:space="preserve"> majors</w:t>
            </w:r>
          </w:p>
          <w:p w14:paraId="5F3A9155" w14:textId="77777777" w:rsidR="00A15B7A" w:rsidRPr="00A15B7A" w:rsidRDefault="00A15B7A" w:rsidP="00A15B7A">
            <w:pPr>
              <w:pStyle w:val="ListParagraph"/>
              <w:ind w:left="0"/>
              <w:rPr>
                <w:color w:val="FF0000"/>
              </w:rPr>
            </w:pPr>
          </w:p>
          <w:p w14:paraId="64E6594C" w14:textId="77777777" w:rsidR="00A15B7A" w:rsidRPr="00A15B7A" w:rsidRDefault="00A15B7A" w:rsidP="00A15B7A">
            <w:pPr>
              <w:pStyle w:val="ListParagraph"/>
              <w:ind w:left="0"/>
              <w:rPr>
                <w:color w:val="FF0000"/>
              </w:rPr>
            </w:pPr>
            <w:r w:rsidRPr="0064720E">
              <w:rPr>
                <w:color w:val="000000" w:themeColor="text1"/>
              </w:rPr>
              <w:t>100% are on Ellensburg campus</w:t>
            </w:r>
          </w:p>
          <w:p w14:paraId="73FC9644" w14:textId="77777777" w:rsidR="00A15B7A" w:rsidRPr="00A15B7A" w:rsidRDefault="00A15B7A" w:rsidP="00A15B7A">
            <w:pPr>
              <w:pStyle w:val="ListParagraph"/>
              <w:ind w:left="0"/>
              <w:rPr>
                <w:color w:val="FF0000"/>
              </w:rPr>
            </w:pPr>
          </w:p>
          <w:p w14:paraId="3BD02883" w14:textId="13E52C89" w:rsidR="00D93820" w:rsidRDefault="00A56690" w:rsidP="00A15B7A">
            <w:pPr>
              <w:pStyle w:val="ListParagraph"/>
              <w:ind w:left="0"/>
            </w:pPr>
            <w:r w:rsidRPr="0064720E">
              <w:rPr>
                <w:color w:val="000000" w:themeColor="text1"/>
              </w:rPr>
              <w:t xml:space="preserve">We have determined that gathering further demographics on our employees is </w:t>
            </w:r>
            <w:r w:rsidR="0064720E" w:rsidRPr="0064720E">
              <w:rPr>
                <w:color w:val="000000" w:themeColor="text1"/>
              </w:rPr>
              <w:t xml:space="preserve">likely only possible through HR and we will work to see what is available there. </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2A60DF52" w14:textId="773A169A" w:rsidR="001D1783" w:rsidRDefault="001D1783" w:rsidP="001D1783">
            <w:pPr>
              <w:pStyle w:val="ListParagraph"/>
              <w:ind w:left="0"/>
            </w:pPr>
            <w:r>
              <w:t xml:space="preserve">32 CWU students are currently employed through this program. This is slightly more than a 75% increase from last year’s 18 students employed. </w:t>
            </w:r>
            <w:r w:rsidR="00312DF4">
              <w:t>106</w:t>
            </w:r>
            <w:r>
              <w:t xml:space="preserve"> unique students benefit strongly from the products of this employment: support for theatrical events in our spaces which are integrated into their plans of study.</w:t>
            </w:r>
            <w:r w:rsidR="00312DF4">
              <w:t xml:space="preserve"> 134 unique students benefit in some way from the student employment offering access and management of equipment. A total of 280 students.</w:t>
            </w:r>
          </w:p>
          <w:p w14:paraId="0D4B7679" w14:textId="77777777" w:rsidR="00312DF4" w:rsidRDefault="00312DF4" w:rsidP="001D1783">
            <w:pPr>
              <w:pStyle w:val="ListParagraph"/>
              <w:ind w:left="0"/>
            </w:pPr>
          </w:p>
          <w:p w14:paraId="61640B0E" w14:textId="77777777" w:rsidR="001D1783" w:rsidRDefault="001D1783" w:rsidP="001D1783">
            <w:pPr>
              <w:pStyle w:val="ListParagraph"/>
              <w:ind w:left="0"/>
            </w:pPr>
            <w:r>
              <w:t xml:space="preserve">The entire campus benefits from potential attendance at these events. </w:t>
            </w:r>
          </w:p>
          <w:p w14:paraId="2F227FB7" w14:textId="5608EFC0" w:rsidR="00D93820" w:rsidRDefault="001D1783" w:rsidP="006E7B8E">
            <w:pPr>
              <w:pStyle w:val="ListParagraph"/>
              <w:ind w:left="0"/>
            </w:pPr>
            <w:r>
              <w:t xml:space="preserve"> </w:t>
            </w:r>
          </w:p>
          <w:p w14:paraId="40CE2CFF" w14:textId="18615611" w:rsidR="00312DF4" w:rsidRDefault="001D1783" w:rsidP="00312DF4">
            <w:pPr>
              <w:pStyle w:val="ListParagraph"/>
              <w:numPr>
                <w:ilvl w:val="0"/>
                <w:numId w:val="4"/>
              </w:numPr>
            </w:pPr>
            <w:r>
              <w:t>We count the number of students employed</w:t>
            </w:r>
            <w:r w:rsidR="00312DF4">
              <w:t>, we count the number of students using the outputs of the program</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66019A94" w:rsidR="00D93820" w:rsidRDefault="00C82962" w:rsidP="006E7B8E">
            <w:pPr>
              <w:pStyle w:val="ListParagraph"/>
              <w:ind w:left="0"/>
            </w:pPr>
            <w:r>
              <w:t xml:space="preserve">Not at this time. </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4E5C94B7" w14:textId="77777777" w:rsidR="00C82962" w:rsidRDefault="00C82962" w:rsidP="00C82962">
            <w:pPr>
              <w:pStyle w:val="ListParagraph"/>
              <w:ind w:left="0"/>
            </w:pPr>
            <w:r>
              <w:t xml:space="preserve">We would be unable to fully return to pre-pandemic levels of student employment and keeping in line with minimum wage increases may mean we need to reduce the number of students employed.  </w:t>
            </w:r>
          </w:p>
          <w:p w14:paraId="29B04575" w14:textId="77777777" w:rsidR="00D93820" w:rsidRDefault="00D93820" w:rsidP="006E7B8E">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41110AED" w14:textId="7165E158" w:rsidR="00D93820" w:rsidRDefault="00C82962" w:rsidP="006E7B8E">
            <w:pPr>
              <w:pStyle w:val="ListParagraph"/>
              <w:ind w:left="0"/>
            </w:pPr>
            <w:r>
              <w:t xml:space="preserve">We are </w:t>
            </w:r>
            <w:r w:rsidR="00312DF4">
              <w:t xml:space="preserve">almost back to our pre-pandemic levels of employment. We have </w:t>
            </w:r>
            <w:r w:rsidR="00E81F50">
              <w:t>been</w:t>
            </w:r>
            <w:r w:rsidR="00312DF4">
              <w:t xml:space="preserve"> able to incre</w:t>
            </w:r>
            <w:r w:rsidR="00E81F50">
              <w:t>ase the number of students employed by 99%.</w:t>
            </w:r>
            <w:r w:rsidR="00312DF4">
              <w:t xml:space="preserve"> </w:t>
            </w:r>
            <w:r>
              <w:t xml:space="preserve"> Some challenge</w:t>
            </w:r>
            <w:r w:rsidR="00E81F50">
              <w:t>s continue to</w:t>
            </w:r>
            <w:r>
              <w:t xml:space="preserve"> include a decrease in appropriately skilled job candidates. </w:t>
            </w:r>
          </w:p>
          <w:p w14:paraId="317F2E13" w14:textId="27CEBC0D" w:rsidR="00E81F50" w:rsidRDefault="00E81F50" w:rsidP="006E7B8E">
            <w:pPr>
              <w:pStyle w:val="ListParagraph"/>
              <w:ind w:left="0"/>
            </w:pPr>
          </w:p>
        </w:tc>
      </w:tr>
    </w:tbl>
    <w:p w14:paraId="10C6792B" w14:textId="77777777" w:rsidR="00355A52" w:rsidRDefault="00355A52" w:rsidP="00E81F50"/>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5CEBFA7C" w14:textId="77777777" w:rsidR="00C82962" w:rsidRDefault="00C82962" w:rsidP="00C82962">
            <w:pPr>
              <w:ind w:left="360"/>
            </w:pPr>
            <w:r>
              <w:t xml:space="preserve">We would like to see funding growth that supports the increase in minimum wage across 4 years. Without that growth, we will need to diminish the number of possible employees over time to accommodate this increase. </w:t>
            </w:r>
          </w:p>
          <w:p w14:paraId="63F53BDD" w14:textId="77777777" w:rsidR="00C82962" w:rsidRDefault="00C82962" w:rsidP="00C82962">
            <w:pPr>
              <w:ind w:left="360"/>
            </w:pPr>
          </w:p>
          <w:p w14:paraId="62566788" w14:textId="64273F7A" w:rsidR="00355A52" w:rsidRDefault="00C82962" w:rsidP="00C82962">
            <w:pPr>
              <w:ind w:left="360"/>
            </w:pPr>
            <w:r>
              <w:t xml:space="preserve">We would also like to return to offering students subsidized tickets for reduced or no cost to Theatre Arts events. Ideally, fully subsidized, so every event </w:t>
            </w:r>
            <w:r w:rsidR="00E81F50">
              <w:t xml:space="preserve">has </w:t>
            </w:r>
            <w:r>
              <w:t>no</w:t>
            </w:r>
            <w:r w:rsidR="00E81F50">
              <w:t xml:space="preserve"> ticket</w:t>
            </w:r>
            <w:r>
              <w:t xml:space="preserve"> cost to our students. We believe removing this financial barrier would make our cultural </w:t>
            </w:r>
            <w:r w:rsidR="00E81F50">
              <w:t>programming</w:t>
            </w:r>
            <w:r>
              <w:t xml:space="preserve"> more accessible to the campus as a whole. This funding was cut in the 2022-2025 quadrennial allocation.</w:t>
            </w:r>
          </w:p>
          <w:p w14:paraId="6527CA3D" w14:textId="15CFDCCD" w:rsidR="00E81F50" w:rsidRDefault="00E81F50" w:rsidP="00C82962">
            <w:pPr>
              <w:ind w:left="360"/>
            </w:pP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8C3DDD6" w14:textId="77777777" w:rsidR="00D93820" w:rsidRDefault="000C22DF" w:rsidP="006E7B8E">
            <w:pPr>
              <w:pStyle w:val="ListParagraph"/>
              <w:ind w:left="0"/>
            </w:pPr>
            <w:r>
              <w:t>We are looking to expand in two ways: 1 to incorporate the Film Program and it’s student employees both of which are newly part of the Theatre Arts Department. And 2</w:t>
            </w:r>
            <w:r w:rsidRPr="000C22DF">
              <w:rPr>
                <w:vertAlign w:val="superscript"/>
              </w:rPr>
              <w:t>nd</w:t>
            </w:r>
            <w:r>
              <w:t xml:space="preserve"> to keep pace with the continuing rise in minimum wage.  </w:t>
            </w:r>
          </w:p>
          <w:p w14:paraId="4384EEC4" w14:textId="45DCF586" w:rsidR="00E81F50" w:rsidRDefault="00E81F50" w:rsidP="006E7B8E">
            <w:pPr>
              <w:pStyle w:val="ListParagraph"/>
              <w:ind w:left="0"/>
            </w:pP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318A"/>
    <w:multiLevelType w:val="hybridMultilevel"/>
    <w:tmpl w:val="F89A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B2C8C"/>
    <w:multiLevelType w:val="hybridMultilevel"/>
    <w:tmpl w:val="9906D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C22DF"/>
    <w:rsid w:val="0014691D"/>
    <w:rsid w:val="001D1783"/>
    <w:rsid w:val="001D7E12"/>
    <w:rsid w:val="002B25D0"/>
    <w:rsid w:val="002F4144"/>
    <w:rsid w:val="00312DF4"/>
    <w:rsid w:val="00355A52"/>
    <w:rsid w:val="00427919"/>
    <w:rsid w:val="004A6FB5"/>
    <w:rsid w:val="004D3841"/>
    <w:rsid w:val="00506013"/>
    <w:rsid w:val="0064720E"/>
    <w:rsid w:val="0066513A"/>
    <w:rsid w:val="006832C8"/>
    <w:rsid w:val="00820230"/>
    <w:rsid w:val="009C5D26"/>
    <w:rsid w:val="009D398F"/>
    <w:rsid w:val="00A15B7A"/>
    <w:rsid w:val="00A56690"/>
    <w:rsid w:val="00B075D9"/>
    <w:rsid w:val="00C270EC"/>
    <w:rsid w:val="00C82962"/>
    <w:rsid w:val="00D93820"/>
    <w:rsid w:val="00E81F50"/>
    <w:rsid w:val="00F5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paragraph" w:styleId="NormalWeb">
    <w:name w:val="Normal (Web)"/>
    <w:basedOn w:val="Normal"/>
    <w:uiPriority w:val="99"/>
    <w:semiHidden/>
    <w:unhideWhenUsed/>
    <w:rsid w:val="00C829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wu.edu/mission/sites/cts.cwu.edu.mission/files/documents/CWU-Strategic-Plan.pdf" TargetMode="Externa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1355</Words>
  <Characters>7795</Characters>
  <Application>Microsoft Office Word</Application>
  <DocSecurity>0</DocSecurity>
  <Lines>185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Christina Barrigan</cp:lastModifiedBy>
  <cp:revision>6</cp:revision>
  <dcterms:created xsi:type="dcterms:W3CDTF">2023-12-15T01:16:00Z</dcterms:created>
  <dcterms:modified xsi:type="dcterms:W3CDTF">2023-12-16T00:21:00Z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3cec99f534ea3fb4623effe83fcb6dee9a00245b4dca2135867fb623d84ab35c</vt:lpwstr>
  </property>
</Properties>
</file>