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BD03" w14:textId="77777777" w:rsidR="007D340D" w:rsidRDefault="007D340D" w:rsidP="007D340D">
      <w:pPr>
        <w:spacing w:after="0" w:line="240" w:lineRule="auto"/>
        <w:rPr>
          <w:rFonts w:ascii="Aptos" w:hAnsi="Aptos" w:cstheme="minorHAnsi"/>
        </w:rPr>
      </w:pPr>
    </w:p>
    <w:p w14:paraId="69055299" w14:textId="77777777" w:rsidR="007D340D" w:rsidRDefault="007D340D" w:rsidP="007D340D">
      <w:pPr>
        <w:spacing w:after="0" w:line="240" w:lineRule="auto"/>
        <w:rPr>
          <w:rFonts w:ascii="Aptos" w:hAnsi="Aptos" w:cstheme="minorHAnsi"/>
        </w:rPr>
      </w:pPr>
    </w:p>
    <w:p w14:paraId="5C14F797" w14:textId="77777777" w:rsidR="007D340D" w:rsidRDefault="007D340D" w:rsidP="007D340D">
      <w:pPr>
        <w:spacing w:after="0" w:line="240" w:lineRule="auto"/>
        <w:rPr>
          <w:rFonts w:ascii="Aptos" w:hAnsi="Aptos" w:cstheme="minorHAnsi"/>
        </w:rPr>
      </w:pPr>
    </w:p>
    <w:p w14:paraId="7AE4109C" w14:textId="0C3EB0E5" w:rsidR="007D340D" w:rsidRDefault="007D340D" w:rsidP="007D340D">
      <w:pPr>
        <w:spacing w:after="0" w:line="240" w:lineRule="auto"/>
        <w:rPr>
          <w:rFonts w:ascii="Aptos" w:hAnsi="Aptos" w:cstheme="minorHAnsi"/>
        </w:rPr>
      </w:pPr>
      <w:r>
        <w:rPr>
          <w:rFonts w:ascii="Aptos" w:hAnsi="Aptos" w:cstheme="minorHAnsi"/>
        </w:rPr>
        <w:t>January 31, 2025</w:t>
      </w:r>
    </w:p>
    <w:p w14:paraId="1A5E1FDE" w14:textId="77777777" w:rsidR="007D340D" w:rsidRDefault="007D340D" w:rsidP="007D340D">
      <w:pPr>
        <w:spacing w:after="0" w:line="240" w:lineRule="auto"/>
        <w:rPr>
          <w:rFonts w:ascii="Aptos" w:hAnsi="Aptos" w:cstheme="minorHAnsi"/>
        </w:rPr>
      </w:pPr>
    </w:p>
    <w:p w14:paraId="27F95068" w14:textId="77777777" w:rsidR="007D340D" w:rsidRDefault="007D340D" w:rsidP="007D340D">
      <w:pPr>
        <w:spacing w:after="0" w:line="240" w:lineRule="auto"/>
        <w:rPr>
          <w:rFonts w:ascii="Aptos" w:hAnsi="Aptos" w:cstheme="minorHAnsi"/>
        </w:rPr>
      </w:pPr>
    </w:p>
    <w:p w14:paraId="228E6792" w14:textId="77777777" w:rsidR="007D340D" w:rsidRDefault="007D340D" w:rsidP="007D340D">
      <w:pPr>
        <w:spacing w:after="0" w:line="240" w:lineRule="auto"/>
        <w:rPr>
          <w:rFonts w:ascii="Aptos" w:hAnsi="Aptos" w:cstheme="minorHAnsi"/>
        </w:rPr>
      </w:pPr>
      <w:r>
        <w:rPr>
          <w:rFonts w:ascii="Aptos" w:hAnsi="Aptos" w:cstheme="minorHAnsi"/>
        </w:rPr>
        <w:t>Dear Committee Member:</w:t>
      </w:r>
    </w:p>
    <w:p w14:paraId="4C2811F2" w14:textId="77777777" w:rsidR="007D340D" w:rsidRDefault="007D340D" w:rsidP="007D340D">
      <w:pPr>
        <w:spacing w:after="0" w:line="240" w:lineRule="auto"/>
        <w:rPr>
          <w:rFonts w:ascii="Aptos" w:hAnsi="Aptos" w:cstheme="minorHAnsi"/>
        </w:rPr>
      </w:pPr>
    </w:p>
    <w:p w14:paraId="38455CD0" w14:textId="77777777" w:rsidR="007D340D" w:rsidRDefault="007D340D" w:rsidP="007D340D">
      <w:pPr>
        <w:spacing w:after="0" w:line="240" w:lineRule="auto"/>
        <w:rPr>
          <w:rFonts w:ascii="Aptos" w:hAnsi="Aptos" w:cstheme="minorHAnsi"/>
        </w:rPr>
      </w:pPr>
    </w:p>
    <w:p w14:paraId="5806609E" w14:textId="77777777" w:rsidR="007D340D" w:rsidRPr="00A10A13" w:rsidRDefault="007D340D" w:rsidP="007D340D">
      <w:pPr>
        <w:spacing w:after="0" w:line="240" w:lineRule="auto"/>
        <w:rPr>
          <w:rFonts w:ascii="Aptos" w:hAnsi="Aptos" w:cstheme="minorHAnsi"/>
        </w:rPr>
      </w:pPr>
      <w:r w:rsidRPr="00A10A13">
        <w:rPr>
          <w:rFonts w:ascii="Aptos" w:hAnsi="Aptos" w:cstheme="minorHAnsi"/>
        </w:rPr>
        <w:t xml:space="preserve">A key feature of CWU’s value has been our centering on student success. Regardless of their backgrounds and personal histories, students seek assistance from faculty and staff to help them succeed—from the initial stages of the recruitment and admissions process through graduation and beyond. </w:t>
      </w:r>
      <w:r>
        <w:rPr>
          <w:rFonts w:ascii="Aptos" w:hAnsi="Aptos" w:cstheme="minorHAnsi"/>
        </w:rPr>
        <w:t>Students</w:t>
      </w:r>
      <w:r w:rsidRPr="00A10A13">
        <w:rPr>
          <w:rFonts w:ascii="Aptos" w:hAnsi="Aptos" w:cstheme="minorHAnsi"/>
        </w:rPr>
        <w:t xml:space="preserve"> will most likely return each </w:t>
      </w:r>
      <w:r>
        <w:rPr>
          <w:rFonts w:ascii="Aptos" w:hAnsi="Aptos" w:cstheme="minorHAnsi"/>
        </w:rPr>
        <w:t>quarter</w:t>
      </w:r>
      <w:r w:rsidRPr="00A10A13">
        <w:rPr>
          <w:rFonts w:ascii="Aptos" w:hAnsi="Aptos" w:cstheme="minorHAnsi"/>
        </w:rPr>
        <w:t xml:space="preserve"> until they graduate when they feel welcomed, well-supported</w:t>
      </w:r>
      <w:r>
        <w:rPr>
          <w:rFonts w:ascii="Aptos" w:hAnsi="Aptos" w:cstheme="minorHAnsi"/>
        </w:rPr>
        <w:t>, cared</w:t>
      </w:r>
      <w:r w:rsidRPr="00A10A13">
        <w:rPr>
          <w:rFonts w:ascii="Aptos" w:hAnsi="Aptos" w:cstheme="minorHAnsi"/>
        </w:rPr>
        <w:t xml:space="preserve"> for, and engaged in their academic studies and co-curricular experiences. Because of these things, we know student success is everyone’s responsibility.</w:t>
      </w:r>
    </w:p>
    <w:p w14:paraId="07B56B10" w14:textId="77777777" w:rsidR="007D340D" w:rsidRPr="00A10A13" w:rsidRDefault="007D340D" w:rsidP="007D340D">
      <w:pPr>
        <w:spacing w:after="0" w:line="240" w:lineRule="auto"/>
        <w:rPr>
          <w:rFonts w:ascii="Aptos" w:hAnsi="Aptos" w:cstheme="minorHAnsi"/>
        </w:rPr>
      </w:pPr>
    </w:p>
    <w:p w14:paraId="55D8FA3C" w14:textId="77777777" w:rsidR="007D340D" w:rsidRPr="00A10A13" w:rsidRDefault="007D340D" w:rsidP="007D340D">
      <w:pPr>
        <w:spacing w:after="0" w:line="240" w:lineRule="auto"/>
        <w:rPr>
          <w:rFonts w:ascii="Aptos" w:hAnsi="Aptos" w:cstheme="minorHAnsi"/>
        </w:rPr>
      </w:pPr>
      <w:r w:rsidRPr="00A10A13">
        <w:rPr>
          <w:rFonts w:ascii="Aptos" w:hAnsi="Aptos" w:cstheme="minorHAnsi"/>
        </w:rPr>
        <w:t>To maximize student access and success, CWU must be forward-thinking in how it will achieve its enrollment goals in the coming years. Today, institutions like ours face more challenges than ever in meeting their current and future enrollment objectives. Some of those reasons are cited below.</w:t>
      </w:r>
    </w:p>
    <w:p w14:paraId="0004BD32" w14:textId="77777777" w:rsidR="007D340D" w:rsidRPr="00A10A13" w:rsidRDefault="007D340D" w:rsidP="007D340D">
      <w:pPr>
        <w:spacing w:after="0" w:line="240" w:lineRule="auto"/>
        <w:rPr>
          <w:rFonts w:ascii="Aptos" w:hAnsi="Aptos" w:cstheme="minorHAnsi"/>
        </w:rPr>
      </w:pPr>
    </w:p>
    <w:p w14:paraId="50DAE222" w14:textId="77777777" w:rsidR="007D340D" w:rsidRPr="00A10A13" w:rsidRDefault="007D340D" w:rsidP="007D340D">
      <w:pPr>
        <w:pStyle w:val="ListParagraph"/>
        <w:numPr>
          <w:ilvl w:val="0"/>
          <w:numId w:val="1"/>
        </w:numPr>
        <w:rPr>
          <w:rFonts w:ascii="Aptos" w:hAnsi="Aptos" w:cstheme="minorHAnsi"/>
          <w:sz w:val="22"/>
          <w:szCs w:val="22"/>
        </w:rPr>
      </w:pPr>
      <w:r w:rsidRPr="00A10A13">
        <w:rPr>
          <w:rFonts w:ascii="Aptos" w:hAnsi="Aptos" w:cstheme="minorHAnsi"/>
          <w:sz w:val="22"/>
          <w:szCs w:val="22"/>
        </w:rPr>
        <w:t>Changing demographics and college enrollment trends in Washington and around the country.</w:t>
      </w:r>
    </w:p>
    <w:p w14:paraId="78220A51" w14:textId="77777777" w:rsidR="007D340D" w:rsidRPr="00A10A13" w:rsidRDefault="007D340D" w:rsidP="007D340D">
      <w:pPr>
        <w:pStyle w:val="ListParagraph"/>
        <w:numPr>
          <w:ilvl w:val="0"/>
          <w:numId w:val="1"/>
        </w:numPr>
        <w:rPr>
          <w:rFonts w:ascii="Aptos" w:hAnsi="Aptos" w:cstheme="minorHAnsi"/>
          <w:sz w:val="22"/>
          <w:szCs w:val="22"/>
        </w:rPr>
      </w:pPr>
      <w:r w:rsidRPr="00A10A13">
        <w:rPr>
          <w:rFonts w:ascii="Aptos" w:hAnsi="Aptos" w:cstheme="minorHAnsi"/>
          <w:sz w:val="22"/>
          <w:szCs w:val="22"/>
        </w:rPr>
        <w:t>Increasing disparity of access and degree completion leading to economic, racial, and social inequity</w:t>
      </w:r>
    </w:p>
    <w:p w14:paraId="4CF2B691" w14:textId="77777777" w:rsidR="007D340D" w:rsidRPr="00A10A13" w:rsidRDefault="007D340D" w:rsidP="007D340D">
      <w:pPr>
        <w:pStyle w:val="ListParagraph"/>
        <w:numPr>
          <w:ilvl w:val="0"/>
          <w:numId w:val="1"/>
        </w:numPr>
        <w:rPr>
          <w:rFonts w:ascii="Aptos" w:hAnsi="Aptos" w:cstheme="minorHAnsi"/>
          <w:sz w:val="22"/>
          <w:szCs w:val="22"/>
        </w:rPr>
      </w:pPr>
      <w:r w:rsidRPr="00A10A13">
        <w:rPr>
          <w:rFonts w:ascii="Aptos" w:hAnsi="Aptos" w:cstheme="minorHAnsi"/>
          <w:sz w:val="22"/>
          <w:szCs w:val="22"/>
        </w:rPr>
        <w:t xml:space="preserve">Shrinking state support for higher education  </w:t>
      </w:r>
    </w:p>
    <w:p w14:paraId="1652BD4F" w14:textId="77777777" w:rsidR="007D340D" w:rsidRPr="00A10A13" w:rsidRDefault="007D340D" w:rsidP="007D340D">
      <w:pPr>
        <w:pStyle w:val="ListParagraph"/>
        <w:numPr>
          <w:ilvl w:val="0"/>
          <w:numId w:val="1"/>
        </w:numPr>
        <w:rPr>
          <w:rFonts w:ascii="Aptos" w:hAnsi="Aptos" w:cstheme="minorHAnsi"/>
          <w:sz w:val="22"/>
          <w:szCs w:val="22"/>
        </w:rPr>
      </w:pPr>
      <w:r w:rsidRPr="00A10A13">
        <w:rPr>
          <w:rFonts w:ascii="Aptos" w:hAnsi="Aptos" w:cstheme="minorHAnsi"/>
          <w:sz w:val="22"/>
          <w:szCs w:val="22"/>
        </w:rPr>
        <w:t>Growing demand to produce quantifiable outcomes for the increasing cost of a college education and rising student-loan debt</w:t>
      </w:r>
    </w:p>
    <w:p w14:paraId="7F353100" w14:textId="77777777" w:rsidR="007D340D" w:rsidRPr="00A10A13" w:rsidRDefault="007D340D" w:rsidP="007D340D">
      <w:pPr>
        <w:pStyle w:val="ListParagraph"/>
        <w:numPr>
          <w:ilvl w:val="0"/>
          <w:numId w:val="1"/>
        </w:numPr>
        <w:rPr>
          <w:rFonts w:ascii="Aptos" w:hAnsi="Aptos" w:cstheme="minorHAnsi"/>
          <w:sz w:val="22"/>
          <w:szCs w:val="22"/>
        </w:rPr>
      </w:pPr>
      <w:r w:rsidRPr="00A10A13">
        <w:rPr>
          <w:rFonts w:ascii="Aptos" w:hAnsi="Aptos" w:cstheme="minorHAnsi"/>
          <w:sz w:val="22"/>
          <w:szCs w:val="22"/>
        </w:rPr>
        <w:t xml:space="preserve">Shifting employment trends in a post-pandemic economy </w:t>
      </w:r>
    </w:p>
    <w:p w14:paraId="36A5BAC5" w14:textId="77777777" w:rsidR="007D340D" w:rsidRPr="00A10A13" w:rsidRDefault="007D340D" w:rsidP="007D340D">
      <w:pPr>
        <w:pStyle w:val="ListParagraph"/>
        <w:numPr>
          <w:ilvl w:val="0"/>
          <w:numId w:val="2"/>
        </w:numPr>
        <w:rPr>
          <w:rFonts w:ascii="Aptos" w:hAnsi="Aptos" w:cstheme="minorHAnsi"/>
          <w:sz w:val="22"/>
          <w:szCs w:val="22"/>
        </w:rPr>
      </w:pPr>
      <w:r w:rsidRPr="00A10A13">
        <w:rPr>
          <w:rFonts w:ascii="Aptos" w:hAnsi="Aptos" w:cstheme="minorHAnsi"/>
          <w:sz w:val="22"/>
          <w:szCs w:val="22"/>
        </w:rPr>
        <w:t>Increasing competition among institutions of higher education—including options for out-of-state studies, online and blended learning, and short-term certificates that allow students to quickly enter the workplace and later transfer those credits toward a degree</w:t>
      </w:r>
    </w:p>
    <w:p w14:paraId="0EFAF574" w14:textId="77777777" w:rsidR="007D340D" w:rsidRPr="00A10A13" w:rsidRDefault="007D340D" w:rsidP="007D340D">
      <w:pPr>
        <w:pStyle w:val="ListParagraph"/>
        <w:numPr>
          <w:ilvl w:val="0"/>
          <w:numId w:val="2"/>
        </w:numPr>
        <w:rPr>
          <w:rFonts w:ascii="Aptos" w:hAnsi="Aptos" w:cstheme="minorHAnsi"/>
          <w:sz w:val="22"/>
          <w:szCs w:val="22"/>
        </w:rPr>
      </w:pPr>
      <w:r w:rsidRPr="00A10A13">
        <w:rPr>
          <w:rFonts w:ascii="Aptos" w:hAnsi="Aptos" w:cstheme="minorHAnsi"/>
          <w:sz w:val="22"/>
          <w:szCs w:val="22"/>
        </w:rPr>
        <w:t xml:space="preserve">Emerging in-house training programs being introduced by major technology companies that seek to provide a better bridge to knowledge and skills for today’s workforce  </w:t>
      </w:r>
    </w:p>
    <w:p w14:paraId="4CA72D78" w14:textId="77777777" w:rsidR="007D340D" w:rsidRPr="00A10A13" w:rsidRDefault="007D340D" w:rsidP="007D340D">
      <w:pPr>
        <w:spacing w:after="0" w:line="240" w:lineRule="auto"/>
        <w:rPr>
          <w:rFonts w:ascii="Aptos" w:hAnsi="Aptos" w:cstheme="minorHAnsi"/>
        </w:rPr>
      </w:pPr>
    </w:p>
    <w:p w14:paraId="448835A0" w14:textId="4DA313C9" w:rsidR="007D340D" w:rsidRPr="00A10A13" w:rsidRDefault="007D340D" w:rsidP="007D340D">
      <w:pPr>
        <w:spacing w:after="0" w:line="240" w:lineRule="auto"/>
        <w:rPr>
          <w:rFonts w:ascii="Aptos" w:hAnsi="Aptos" w:cstheme="minorHAnsi"/>
        </w:rPr>
      </w:pPr>
      <w:r w:rsidRPr="00A10A13">
        <w:rPr>
          <w:rFonts w:ascii="Aptos" w:hAnsi="Aptos" w:cstheme="minorHAnsi"/>
        </w:rPr>
        <w:t xml:space="preserve">For these reasons and more, we are pleased to announce the formation of the </w:t>
      </w:r>
      <w:r>
        <w:rPr>
          <w:rFonts w:ascii="Aptos" w:hAnsi="Aptos" w:cstheme="minorHAnsi"/>
        </w:rPr>
        <w:t>Learner Access and Success Steering Committee</w:t>
      </w:r>
      <w:r w:rsidRPr="00A10A13">
        <w:rPr>
          <w:rFonts w:ascii="Aptos" w:hAnsi="Aptos" w:cstheme="minorHAnsi"/>
        </w:rPr>
        <w:t>. Hung Dang</w:t>
      </w:r>
      <w:r>
        <w:rPr>
          <w:rFonts w:ascii="Aptos" w:hAnsi="Aptos" w:cstheme="minorHAnsi"/>
        </w:rPr>
        <w:t>, Associate Vice President, Enrollment Management</w:t>
      </w:r>
      <w:r w:rsidRPr="00A10A13">
        <w:rPr>
          <w:rFonts w:ascii="Aptos" w:hAnsi="Aptos" w:cstheme="minorHAnsi"/>
        </w:rPr>
        <w:t xml:space="preserve"> and Faiza Khoja</w:t>
      </w:r>
      <w:r>
        <w:rPr>
          <w:rFonts w:ascii="Aptos" w:hAnsi="Aptos" w:cstheme="minorHAnsi"/>
        </w:rPr>
        <w:t>, Dean, College of Business</w:t>
      </w:r>
      <w:r w:rsidRPr="00A10A13">
        <w:rPr>
          <w:rFonts w:ascii="Aptos" w:hAnsi="Aptos" w:cstheme="minorHAnsi"/>
        </w:rPr>
        <w:t xml:space="preserve"> will serve as co-chairs. Reporting jointly to the Vice President of S</w:t>
      </w:r>
      <w:r>
        <w:rPr>
          <w:rFonts w:ascii="Aptos" w:hAnsi="Aptos" w:cstheme="minorHAnsi"/>
        </w:rPr>
        <w:t xml:space="preserve">tudent </w:t>
      </w:r>
      <w:r w:rsidRPr="00A10A13">
        <w:rPr>
          <w:rFonts w:ascii="Aptos" w:hAnsi="Aptos" w:cstheme="minorHAnsi"/>
        </w:rPr>
        <w:t>E</w:t>
      </w:r>
      <w:r>
        <w:rPr>
          <w:rFonts w:ascii="Aptos" w:hAnsi="Aptos" w:cstheme="minorHAnsi"/>
        </w:rPr>
        <w:t xml:space="preserve">ngagement and </w:t>
      </w:r>
      <w:r w:rsidRPr="00A10A13">
        <w:rPr>
          <w:rFonts w:ascii="Aptos" w:hAnsi="Aptos" w:cstheme="minorHAnsi"/>
        </w:rPr>
        <w:t>S</w:t>
      </w:r>
      <w:r>
        <w:rPr>
          <w:rFonts w:ascii="Aptos" w:hAnsi="Aptos" w:cstheme="minorHAnsi"/>
        </w:rPr>
        <w:t>uccess</w:t>
      </w:r>
      <w:r w:rsidRPr="00A10A13">
        <w:rPr>
          <w:rFonts w:ascii="Aptos" w:hAnsi="Aptos" w:cstheme="minorHAnsi"/>
        </w:rPr>
        <w:t xml:space="preserve"> and Provost</w:t>
      </w:r>
      <w:r>
        <w:rPr>
          <w:rFonts w:ascii="Aptos" w:hAnsi="Aptos" w:cstheme="minorHAnsi"/>
        </w:rPr>
        <w:t>, Executive Vice President, Academic Affairs</w:t>
      </w:r>
      <w:r w:rsidRPr="00A10A13">
        <w:rPr>
          <w:rFonts w:ascii="Aptos" w:hAnsi="Aptos" w:cstheme="minorHAnsi"/>
        </w:rPr>
        <w:t xml:space="preserve">, the group is tasked with developing a plan to achieve CWU’s optimum enrollment by focusing on what will best serve student needs (prospective and enrolled) and support their educational attainment. Specifically, the committee will devise a plan to articulate how the university will market, brand, recruit, serve, retain, and graduate a diverse student population over the next </w:t>
      </w:r>
      <w:r>
        <w:rPr>
          <w:rFonts w:ascii="Aptos" w:hAnsi="Aptos" w:cstheme="minorHAnsi"/>
        </w:rPr>
        <w:t>five</w:t>
      </w:r>
      <w:r w:rsidRPr="00A10A13">
        <w:rPr>
          <w:rFonts w:ascii="Aptos" w:hAnsi="Aptos" w:cstheme="minorHAnsi"/>
        </w:rPr>
        <w:t xml:space="preserve"> years. This multiyear roadmap will generate intentional, strategic, and measurable goals that can be regularly monitored and evaluated. </w:t>
      </w:r>
      <w:r>
        <w:rPr>
          <w:rFonts w:ascii="Aptos" w:hAnsi="Aptos" w:cstheme="minorHAnsi"/>
        </w:rPr>
        <w:t xml:space="preserve">It is anticipated that the committee will complete its work by </w:t>
      </w:r>
      <w:r w:rsidR="0055268E">
        <w:rPr>
          <w:rFonts w:ascii="Aptos" w:hAnsi="Aptos" w:cstheme="minorHAnsi"/>
        </w:rPr>
        <w:t>August</w:t>
      </w:r>
      <w:r>
        <w:rPr>
          <w:rFonts w:ascii="Aptos" w:hAnsi="Aptos" w:cstheme="minorHAnsi"/>
        </w:rPr>
        <w:t xml:space="preserve"> 2025.</w:t>
      </w:r>
    </w:p>
    <w:p w14:paraId="387E1D95" w14:textId="77777777" w:rsidR="007D340D" w:rsidRPr="00A10A13" w:rsidRDefault="007D340D" w:rsidP="007D340D">
      <w:pPr>
        <w:spacing w:after="0" w:line="240" w:lineRule="auto"/>
        <w:rPr>
          <w:rFonts w:ascii="Aptos" w:hAnsi="Aptos" w:cstheme="minorHAnsi"/>
        </w:rPr>
      </w:pPr>
    </w:p>
    <w:p w14:paraId="5941AA87" w14:textId="77777777" w:rsidR="007D340D" w:rsidRDefault="007D340D" w:rsidP="007D340D">
      <w:pPr>
        <w:spacing w:after="0" w:line="240" w:lineRule="auto"/>
        <w:rPr>
          <w:rFonts w:ascii="Aptos" w:hAnsi="Aptos" w:cstheme="minorHAnsi"/>
        </w:rPr>
      </w:pPr>
    </w:p>
    <w:p w14:paraId="4737EF3C" w14:textId="4077CF98" w:rsidR="007D340D" w:rsidRPr="00A10A13" w:rsidRDefault="007D340D" w:rsidP="007D340D">
      <w:pPr>
        <w:spacing w:after="0" w:line="240" w:lineRule="auto"/>
        <w:rPr>
          <w:rFonts w:ascii="Aptos" w:hAnsi="Aptos" w:cstheme="minorHAnsi"/>
        </w:rPr>
      </w:pPr>
      <w:r w:rsidRPr="00A10A13">
        <w:rPr>
          <w:rFonts w:ascii="Aptos" w:hAnsi="Aptos" w:cstheme="minorHAnsi"/>
        </w:rPr>
        <w:t>While designated individuals and campus offices are responsible for creating a success-oriented student environment, input from a cross-disciplinary team is critical for developing a comprehensive plan that moves us forward. Accordingly, we appreciate your service as a member of this important committee.</w:t>
      </w:r>
    </w:p>
    <w:p w14:paraId="47E1A3BE" w14:textId="1F65C13B" w:rsidR="007D340D" w:rsidRPr="00A10A13" w:rsidRDefault="007D340D" w:rsidP="007D340D">
      <w:pPr>
        <w:spacing w:after="0" w:line="240" w:lineRule="auto"/>
        <w:rPr>
          <w:rFonts w:ascii="Aptos" w:hAnsi="Aptos" w:cstheme="minorHAnsi"/>
        </w:rPr>
      </w:pPr>
    </w:p>
    <w:p w14:paraId="3CB9C67D" w14:textId="522B83BB" w:rsidR="007D340D" w:rsidRPr="0055268E" w:rsidRDefault="002479D0" w:rsidP="007D340D">
      <w:pPr>
        <w:spacing w:after="0" w:line="240" w:lineRule="auto"/>
        <w:rPr>
          <w:rFonts w:ascii="Aptos" w:hAnsi="Aptos" w:cstheme="minorHAnsi"/>
        </w:rPr>
      </w:pPr>
      <w:r w:rsidRPr="002479D0">
        <w:rPr>
          <w:rFonts w:ascii="Aptos" w:hAnsi="Aptos" w:cstheme="minorHAnsi"/>
          <w:noProof/>
        </w:rPr>
        <w:drawing>
          <wp:anchor distT="0" distB="0" distL="114300" distR="114300" simplePos="0" relativeHeight="251658240" behindDoc="1" locked="0" layoutInCell="1" allowOverlap="1" wp14:anchorId="11791BE5" wp14:editId="06140198">
            <wp:simplePos x="0" y="0"/>
            <wp:positionH relativeFrom="column">
              <wp:posOffset>2886075</wp:posOffset>
            </wp:positionH>
            <wp:positionV relativeFrom="paragraph">
              <wp:posOffset>167640</wp:posOffset>
            </wp:positionV>
            <wp:extent cx="1800225" cy="880361"/>
            <wp:effectExtent l="0" t="0" r="0" b="0"/>
            <wp:wrapNone/>
            <wp:docPr id="3113767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225" cy="8803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340D" w:rsidRPr="00A10A13">
        <w:rPr>
          <w:rFonts w:ascii="Aptos" w:hAnsi="Aptos" w:cstheme="minorHAnsi"/>
        </w:rPr>
        <w:t>Thank you</w:t>
      </w:r>
      <w:r w:rsidR="007D340D">
        <w:rPr>
          <w:rFonts w:ascii="Aptos" w:hAnsi="Aptos" w:cstheme="minorHAnsi"/>
        </w:rPr>
        <w:t>,</w:t>
      </w:r>
    </w:p>
    <w:p w14:paraId="23D11622" w14:textId="7BE9C4B0" w:rsidR="007D340D" w:rsidRDefault="003B591A" w:rsidP="007D340D">
      <w:pPr>
        <w:spacing w:after="0" w:line="240" w:lineRule="auto"/>
        <w:rPr>
          <w:rFonts w:ascii="Aptos" w:hAnsi="Aptos" w:cstheme="minorHAnsi"/>
        </w:rPr>
      </w:pPr>
      <w:r>
        <w:rPr>
          <w:rFonts w:eastAsia="Times New Roman"/>
          <w:noProof/>
          <w:color w:val="000000"/>
        </w:rPr>
        <w:drawing>
          <wp:inline distT="0" distB="0" distL="0" distR="0" wp14:anchorId="79C45F2F" wp14:editId="2DC35D41">
            <wp:extent cx="1814195" cy="628650"/>
            <wp:effectExtent l="0" t="0" r="0" b="0"/>
            <wp:docPr id="209320218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02180" name="Picture 1" descr="A black and white logo&#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843605" cy="638841"/>
                    </a:xfrm>
                    <a:prstGeom prst="rect">
                      <a:avLst/>
                    </a:prstGeom>
                    <a:noFill/>
                    <a:ln>
                      <a:noFill/>
                    </a:ln>
                  </pic:spPr>
                </pic:pic>
              </a:graphicData>
            </a:graphic>
          </wp:inline>
        </w:drawing>
      </w:r>
      <w:r w:rsidR="002479D0" w:rsidRPr="002479D0">
        <w:rPr>
          <w:rFonts w:ascii="Aptos" w:hAnsi="Aptos" w:cstheme="minorHAnsi"/>
        </w:rPr>
        <w:t xml:space="preserve"> </w:t>
      </w:r>
    </w:p>
    <w:p w14:paraId="274ACCD4" w14:textId="42890F0C" w:rsidR="007D340D" w:rsidRDefault="007D340D" w:rsidP="007D340D">
      <w:pPr>
        <w:tabs>
          <w:tab w:val="left" w:pos="6480"/>
        </w:tabs>
        <w:spacing w:after="0" w:line="240" w:lineRule="auto"/>
        <w:rPr>
          <w:rFonts w:ascii="Aptos" w:eastAsia="Times New Roman" w:hAnsi="Aptos" w:cstheme="minorHAnsi"/>
          <w:color w:val="1F497D"/>
        </w:rPr>
      </w:pPr>
    </w:p>
    <w:p w14:paraId="7BA09683" w14:textId="6B16CB93" w:rsidR="007D340D" w:rsidRPr="0055268E" w:rsidRDefault="007D340D" w:rsidP="007D340D">
      <w:pPr>
        <w:tabs>
          <w:tab w:val="left" w:pos="6480"/>
        </w:tabs>
        <w:spacing w:after="0" w:line="240" w:lineRule="auto"/>
        <w:rPr>
          <w:rFonts w:ascii="Aptos" w:eastAsia="Times New Roman" w:hAnsi="Aptos" w:cstheme="minorHAnsi"/>
          <w:color w:val="0D0D0D" w:themeColor="text1" w:themeTint="F2"/>
        </w:rPr>
      </w:pPr>
      <w:r w:rsidRPr="0055268E">
        <w:rPr>
          <w:rFonts w:ascii="Aptos" w:eastAsia="Times New Roman" w:hAnsi="Aptos" w:cstheme="minorHAnsi"/>
          <w:color w:val="0D0D0D" w:themeColor="text1" w:themeTint="F2"/>
        </w:rPr>
        <w:t xml:space="preserve">Patrick Pease                                                                         </w:t>
      </w:r>
      <w:r w:rsidR="005709B4" w:rsidRPr="0055268E">
        <w:rPr>
          <w:rFonts w:ascii="Aptos" w:eastAsia="Times New Roman" w:hAnsi="Aptos" w:cstheme="minorHAnsi"/>
          <w:color w:val="0D0D0D" w:themeColor="text1" w:themeTint="F2"/>
        </w:rPr>
        <w:t xml:space="preserve"> </w:t>
      </w:r>
      <w:r w:rsidRPr="0055268E">
        <w:rPr>
          <w:rFonts w:ascii="Aptos" w:eastAsia="Times New Roman" w:hAnsi="Aptos" w:cstheme="minorHAnsi"/>
          <w:color w:val="0D0D0D" w:themeColor="text1" w:themeTint="F2"/>
        </w:rPr>
        <w:t>Margaret Ortega</w:t>
      </w:r>
    </w:p>
    <w:p w14:paraId="5ABB13F4" w14:textId="621247F0" w:rsidR="007D340D" w:rsidRPr="0055268E" w:rsidRDefault="007D340D" w:rsidP="007D340D">
      <w:pPr>
        <w:tabs>
          <w:tab w:val="left" w:pos="6480"/>
        </w:tabs>
        <w:spacing w:after="0" w:line="240" w:lineRule="auto"/>
        <w:rPr>
          <w:rFonts w:ascii="Aptos" w:eastAsia="Times New Roman" w:hAnsi="Aptos" w:cstheme="minorHAnsi"/>
          <w:color w:val="0D0D0D" w:themeColor="text1" w:themeTint="F2"/>
        </w:rPr>
      </w:pPr>
      <w:r w:rsidRPr="0055268E">
        <w:rPr>
          <w:rFonts w:ascii="Aptos" w:eastAsia="Times New Roman" w:hAnsi="Aptos" w:cstheme="minorHAnsi"/>
          <w:color w:val="0D0D0D" w:themeColor="text1" w:themeTint="F2"/>
        </w:rPr>
        <w:t>Provost</w:t>
      </w:r>
      <w:r w:rsidR="003B591A" w:rsidRPr="0055268E">
        <w:rPr>
          <w:rFonts w:ascii="Aptos" w:eastAsia="Times New Roman" w:hAnsi="Aptos" w:cstheme="minorHAnsi"/>
          <w:color w:val="0D0D0D" w:themeColor="text1" w:themeTint="F2"/>
        </w:rPr>
        <w:t>/</w:t>
      </w:r>
      <w:r w:rsidRPr="0055268E">
        <w:rPr>
          <w:rFonts w:ascii="Aptos" w:eastAsia="Times New Roman" w:hAnsi="Aptos" w:cstheme="minorHAnsi"/>
          <w:color w:val="0D0D0D" w:themeColor="text1" w:themeTint="F2"/>
        </w:rPr>
        <w:t xml:space="preserve">Executive Vice </w:t>
      </w:r>
      <w:r w:rsidR="0055268E" w:rsidRPr="0055268E">
        <w:rPr>
          <w:rFonts w:ascii="Aptos" w:eastAsia="Times New Roman" w:hAnsi="Aptos" w:cstheme="minorHAnsi"/>
          <w:color w:val="0D0D0D" w:themeColor="text1" w:themeTint="F2"/>
        </w:rPr>
        <w:t xml:space="preserve">President,  </w:t>
      </w:r>
      <w:r w:rsidRPr="0055268E">
        <w:rPr>
          <w:rFonts w:ascii="Aptos" w:eastAsia="Times New Roman" w:hAnsi="Aptos" w:cstheme="minorHAnsi"/>
          <w:color w:val="0D0D0D" w:themeColor="text1" w:themeTint="F2"/>
        </w:rPr>
        <w:t xml:space="preserve">                             Vice President, Student Engagement &amp; Success</w:t>
      </w:r>
    </w:p>
    <w:p w14:paraId="15D202CC" w14:textId="6DEA4ED8" w:rsidR="00A73AB2" w:rsidRPr="0055268E" w:rsidRDefault="007D340D" w:rsidP="007D340D">
      <w:pPr>
        <w:tabs>
          <w:tab w:val="left" w:pos="6480"/>
        </w:tabs>
        <w:spacing w:after="0" w:line="240" w:lineRule="auto"/>
        <w:rPr>
          <w:rFonts w:ascii="Aptos" w:eastAsia="Times New Roman" w:hAnsi="Aptos" w:cstheme="minorHAnsi"/>
          <w:color w:val="0D0D0D" w:themeColor="text1" w:themeTint="F2"/>
        </w:rPr>
      </w:pPr>
      <w:r w:rsidRPr="0055268E">
        <w:rPr>
          <w:rFonts w:ascii="Aptos" w:eastAsia="Times New Roman" w:hAnsi="Aptos" w:cstheme="minorHAnsi"/>
          <w:color w:val="0D0D0D" w:themeColor="text1" w:themeTint="F2"/>
        </w:rPr>
        <w:t xml:space="preserve"> Academic Affairs</w:t>
      </w:r>
    </w:p>
    <w:sectPr w:rsidR="00A73AB2" w:rsidRPr="0055268E" w:rsidSect="00112B08">
      <w:headerReference w:type="default" r:id="rId10"/>
      <w:footerReference w:type="default" r:id="rId11"/>
      <w:pgSz w:w="12240" w:h="15840" w:code="1"/>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902AA" w14:textId="77777777" w:rsidR="00E501AD" w:rsidRDefault="00E501AD" w:rsidP="009E1398">
      <w:pPr>
        <w:spacing w:after="0" w:line="240" w:lineRule="auto"/>
      </w:pPr>
      <w:r>
        <w:separator/>
      </w:r>
    </w:p>
  </w:endnote>
  <w:endnote w:type="continuationSeparator" w:id="0">
    <w:p w14:paraId="14E54590" w14:textId="77777777" w:rsidR="00E501AD" w:rsidRDefault="00E501AD" w:rsidP="009E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Aptos">
    <w:panose1 w:val="020B0004020202020204"/>
    <w:charset w:val="00"/>
    <w:family w:val="swiss"/>
    <w:pitch w:val="variable"/>
    <w:sig w:usb0="20000287" w:usb1="00000003" w:usb2="00000000" w:usb3="00000000" w:csb0="0000019F" w:csb1="00000000"/>
  </w:font>
  <w:font w:name="Inter">
    <w:panose1 w:val="02000503000000020004"/>
    <w:charset w:val="00"/>
    <w:family w:val="auto"/>
    <w:pitch w:val="variable"/>
    <w:sig w:usb0="E0000AFF" w:usb1="5200A1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50469" w14:textId="77777777" w:rsidR="007D340D" w:rsidRDefault="007D340D" w:rsidP="007D340D">
    <w:pPr>
      <w:pStyle w:val="Footer"/>
      <w:jc w:val="center"/>
      <w:rPr>
        <w:rFonts w:ascii="Inter" w:hAnsi="Inter" w:cs="Arial"/>
        <w:sz w:val="12"/>
        <w:szCs w:val="12"/>
      </w:rPr>
    </w:pPr>
    <w:r w:rsidRPr="00821916">
      <w:rPr>
        <w:rFonts w:ascii="Inter" w:hAnsi="Inter" w:cs="Arial"/>
        <w:sz w:val="12"/>
        <w:szCs w:val="12"/>
      </w:rPr>
      <w:t>CWU is an EEO/AA/Title IX Institution. For individuals with disabilities who would like to request an accommodation, email Disability Services at DS@cwu.edu.</w:t>
    </w:r>
  </w:p>
  <w:p w14:paraId="5BE5A98A" w14:textId="21770310" w:rsidR="009E1398" w:rsidRPr="007D340D" w:rsidRDefault="007D340D" w:rsidP="007D340D">
    <w:pPr>
      <w:pStyle w:val="Footer"/>
      <w:jc w:val="center"/>
      <w:rPr>
        <w:rFonts w:ascii="Inter" w:hAnsi="Inter" w:cs="Arial"/>
        <w:sz w:val="12"/>
        <w:szCs w:val="12"/>
      </w:rPr>
    </w:pPr>
    <w:r w:rsidRPr="00CF59B7">
      <w:rPr>
        <w:rFonts w:ascii="Inter" w:hAnsi="Inter" w:cs="Arial"/>
        <w:sz w:val="12"/>
        <w:szCs w:val="12"/>
      </w:rPr>
      <w:t>This is an electronic communication from Central Washington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E7B0" w14:textId="77777777" w:rsidR="00E501AD" w:rsidRDefault="00E501AD" w:rsidP="009E1398">
      <w:pPr>
        <w:spacing w:after="0" w:line="240" w:lineRule="auto"/>
      </w:pPr>
      <w:r>
        <w:separator/>
      </w:r>
    </w:p>
  </w:footnote>
  <w:footnote w:type="continuationSeparator" w:id="0">
    <w:p w14:paraId="102D281E" w14:textId="77777777" w:rsidR="00E501AD" w:rsidRDefault="00E501AD" w:rsidP="009E1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FD24" w14:textId="1A73EFCA" w:rsidR="009E1398" w:rsidRPr="00D25D8D" w:rsidRDefault="00D25D8D" w:rsidP="00D25D8D">
    <w:pPr>
      <w:pStyle w:val="Header"/>
    </w:pPr>
    <w:r>
      <w:rPr>
        <w:noProof/>
      </w:rPr>
      <w:drawing>
        <wp:inline distT="0" distB="0" distL="0" distR="0" wp14:anchorId="6CC2C8A2" wp14:editId="27DE6B8F">
          <wp:extent cx="5943600" cy="857197"/>
          <wp:effectExtent l="0" t="0" r="0" b="63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5719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F525F"/>
    <w:multiLevelType w:val="hybridMultilevel"/>
    <w:tmpl w:val="D4EAB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C4B4BC7"/>
    <w:multiLevelType w:val="hybridMultilevel"/>
    <w:tmpl w:val="B5BCA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290742607">
    <w:abstractNumId w:val="0"/>
  </w:num>
  <w:num w:numId="2" w16cid:durableId="105778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398"/>
    <w:rsid w:val="00106416"/>
    <w:rsid w:val="00112B08"/>
    <w:rsid w:val="00130AD6"/>
    <w:rsid w:val="001D50BD"/>
    <w:rsid w:val="002479D0"/>
    <w:rsid w:val="00255117"/>
    <w:rsid w:val="00293E52"/>
    <w:rsid w:val="003B591A"/>
    <w:rsid w:val="004B7D26"/>
    <w:rsid w:val="005464D9"/>
    <w:rsid w:val="0055268E"/>
    <w:rsid w:val="005709B4"/>
    <w:rsid w:val="005719C9"/>
    <w:rsid w:val="00571A0E"/>
    <w:rsid w:val="007312CD"/>
    <w:rsid w:val="007D340D"/>
    <w:rsid w:val="00801BE8"/>
    <w:rsid w:val="00802754"/>
    <w:rsid w:val="009274E8"/>
    <w:rsid w:val="009E1398"/>
    <w:rsid w:val="009F2966"/>
    <w:rsid w:val="00A73AB2"/>
    <w:rsid w:val="00B05400"/>
    <w:rsid w:val="00B2338F"/>
    <w:rsid w:val="00B54623"/>
    <w:rsid w:val="00B60AEE"/>
    <w:rsid w:val="00B77FD1"/>
    <w:rsid w:val="00D25D8D"/>
    <w:rsid w:val="00E159C5"/>
    <w:rsid w:val="00E447BC"/>
    <w:rsid w:val="00E501AD"/>
    <w:rsid w:val="00F92EE1"/>
    <w:rsid w:val="00FF7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A5EA2"/>
  <w15:chartTrackingRefBased/>
  <w15:docId w15:val="{69CAD6F7-2405-4344-8ABA-D1F0CE9E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398"/>
  </w:style>
  <w:style w:type="paragraph" w:styleId="Footer">
    <w:name w:val="footer"/>
    <w:basedOn w:val="Normal"/>
    <w:link w:val="FooterChar"/>
    <w:uiPriority w:val="99"/>
    <w:unhideWhenUsed/>
    <w:rsid w:val="009E1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398"/>
  </w:style>
  <w:style w:type="paragraph" w:customStyle="1" w:styleId="BasicParagraph">
    <w:name w:val="[Basic Paragraph]"/>
    <w:basedOn w:val="Normal"/>
    <w:uiPriority w:val="99"/>
    <w:rsid w:val="009E1398"/>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Paragraph">
    <w:name w:val="List Paragraph"/>
    <w:basedOn w:val="Normal"/>
    <w:uiPriority w:val="34"/>
    <w:qFormat/>
    <w:rsid w:val="007D340D"/>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782ebb31-85db-4d80-8947-e9c01115ca4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Campbell</dc:creator>
  <cp:keywords/>
  <dc:description/>
  <cp:lastModifiedBy>Kaelen Sauriol</cp:lastModifiedBy>
  <cp:revision>2</cp:revision>
  <cp:lastPrinted>2025-01-31T01:04:00Z</cp:lastPrinted>
  <dcterms:created xsi:type="dcterms:W3CDTF">2025-04-03T21:16:00Z</dcterms:created>
  <dcterms:modified xsi:type="dcterms:W3CDTF">2025-04-03T21:16:00Z</dcterms:modified>
</cp:coreProperties>
</file>