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C2D" w:rsidRDefault="00E246F5" w:rsidP="00DA1421">
      <w:pPr>
        <w:jc w:val="both"/>
        <w:rPr>
          <w:rFonts w:ascii="Arial" w:hAnsi="Arial" w:cs="Arial"/>
          <w:b/>
        </w:rPr>
      </w:pPr>
      <w:bookmarkStart w:id="0" w:name="_GoBack"/>
      <w:bookmarkEnd w:id="0"/>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D54589">
        <w:rPr>
          <w:rFonts w:ascii="Arial" w:hAnsi="Arial" w:cs="Arial"/>
          <w:b/>
        </w:rPr>
        <w:tab/>
      </w:r>
      <w:r w:rsidR="00D54589">
        <w:rPr>
          <w:rFonts w:ascii="Arial" w:hAnsi="Arial" w:cs="Arial"/>
          <w:b/>
        </w:rPr>
        <w:tab/>
      </w:r>
      <w:r w:rsidR="00012D9E">
        <w:rPr>
          <w:rFonts w:ascii="Arial" w:hAnsi="Arial" w:cs="Arial"/>
          <w:b/>
        </w:rPr>
        <w:t>January 2014</w:t>
      </w:r>
    </w:p>
    <w:p w:rsidR="00E246F5" w:rsidRDefault="00E246F5" w:rsidP="00DA1421">
      <w:pPr>
        <w:jc w:val="both"/>
        <w:rPr>
          <w:rFonts w:ascii="Arial" w:hAnsi="Arial" w:cs="Arial"/>
          <w:b/>
        </w:rPr>
      </w:pPr>
    </w:p>
    <w:p w:rsidR="00E246F5" w:rsidRPr="009E2C2D" w:rsidRDefault="00E246F5" w:rsidP="00DA1421">
      <w:pPr>
        <w:jc w:val="both"/>
        <w:rPr>
          <w:rFonts w:ascii="Arial" w:hAnsi="Arial" w:cs="Arial"/>
          <w:b/>
        </w:rPr>
      </w:pPr>
    </w:p>
    <w:p w:rsidR="00FD2889" w:rsidRDefault="00FD2889" w:rsidP="00DA1421">
      <w:pPr>
        <w:jc w:val="both"/>
        <w:rPr>
          <w:rFonts w:ascii="Arial" w:hAnsi="Arial" w:cs="Arial"/>
        </w:rPr>
      </w:pPr>
      <w:r>
        <w:rPr>
          <w:rFonts w:ascii="Arial" w:hAnsi="Arial" w:cs="Arial"/>
        </w:rPr>
        <w:t>Since 2000, the CWU academic service learning program has used the Furco Self Assessment Rubric for the Institution</w:t>
      </w:r>
      <w:r w:rsidR="00DA1421">
        <w:rPr>
          <w:rFonts w:ascii="Arial" w:hAnsi="Arial" w:cs="Arial"/>
        </w:rPr>
        <w:t>-</w:t>
      </w:r>
      <w:r>
        <w:rPr>
          <w:rFonts w:ascii="Arial" w:hAnsi="Arial" w:cs="Arial"/>
        </w:rPr>
        <w:t>alization of Service-Learning in Higher Education to facilitate annual self assessment activities and development priorities.</w:t>
      </w:r>
      <w:r w:rsidR="00DA1421">
        <w:rPr>
          <w:rFonts w:ascii="Arial" w:hAnsi="Arial" w:cs="Arial"/>
        </w:rPr>
        <w:t xml:space="preserve">  </w:t>
      </w:r>
    </w:p>
    <w:p w:rsidR="00FD2889" w:rsidRDefault="00FD2889">
      <w:pPr>
        <w:rPr>
          <w:rFonts w:ascii="Arial" w:hAnsi="Arial" w:cs="Arial"/>
        </w:rPr>
      </w:pPr>
    </w:p>
    <w:p w:rsidR="00FD2889" w:rsidRDefault="00FD2889" w:rsidP="00FD2889">
      <w:pPr>
        <w:rPr>
          <w:rFonts w:ascii="Arial" w:hAnsi="Arial" w:cs="Arial"/>
          <w:sz w:val="22"/>
          <w:szCs w:val="22"/>
        </w:rPr>
      </w:pPr>
      <w:r>
        <w:rPr>
          <w:rFonts w:ascii="Arial" w:hAnsi="Arial" w:cs="Arial"/>
          <w:b/>
          <w:bCs/>
        </w:rPr>
        <w:t>Self Assessment Rubric for the Institutionalization of Academic Civic Engagement at CWU as Perceived by Faculty Fellows</w:t>
      </w:r>
    </w:p>
    <w:p w:rsidR="00FD2889" w:rsidRPr="00666009" w:rsidRDefault="00FD2889" w:rsidP="00FD2889">
      <w:pPr>
        <w:rPr>
          <w:rFonts w:ascii="Arial" w:hAnsi="Arial" w:cs="Arial"/>
          <w:sz w:val="22"/>
          <w:szCs w:val="22"/>
        </w:rPr>
      </w:pPr>
    </w:p>
    <w:p w:rsidR="00FD2889" w:rsidRPr="00666009" w:rsidRDefault="00FD2889" w:rsidP="00FD2889">
      <w:pPr>
        <w:rPr>
          <w:rFonts w:ascii="Arial" w:hAnsi="Arial" w:cs="Arial"/>
          <w:b/>
          <w:bCs/>
          <w:sz w:val="22"/>
          <w:szCs w:val="22"/>
        </w:rPr>
      </w:pPr>
      <w:r w:rsidRPr="00666009">
        <w:rPr>
          <w:rFonts w:ascii="Arial" w:hAnsi="Arial" w:cs="Arial"/>
          <w:b/>
          <w:bCs/>
          <w:sz w:val="22"/>
          <w:szCs w:val="22"/>
          <w:u w:val="single"/>
        </w:rPr>
        <w:t>Dimension I</w:t>
      </w:r>
      <w:r w:rsidRPr="00666009">
        <w:rPr>
          <w:rFonts w:ascii="Arial" w:hAnsi="Arial" w:cs="Arial"/>
          <w:b/>
          <w:bCs/>
          <w:sz w:val="22"/>
          <w:szCs w:val="22"/>
        </w:rPr>
        <w:t>: Philosophy and Mission of Academic Civic Engagement</w:t>
      </w:r>
    </w:p>
    <w:p w:rsidR="000A6659" w:rsidRDefault="000A6659" w:rsidP="00FD2889">
      <w:pPr>
        <w:rPr>
          <w:rFonts w:ascii="Arial" w:hAnsi="Arial" w:cs="Arial"/>
          <w:sz w:val="22"/>
          <w:szCs w:val="22"/>
        </w:rPr>
      </w:pPr>
    </w:p>
    <w:tbl>
      <w:tblPr>
        <w:tblW w:w="12960" w:type="dxa"/>
        <w:tblInd w:w="105" w:type="dxa"/>
        <w:tblLayout w:type="fixed"/>
        <w:tblCellMar>
          <w:left w:w="105" w:type="dxa"/>
          <w:right w:w="105" w:type="dxa"/>
        </w:tblCellMar>
        <w:tblLook w:val="0000" w:firstRow="0" w:lastRow="0" w:firstColumn="0" w:lastColumn="0" w:noHBand="0" w:noVBand="0"/>
      </w:tblPr>
      <w:tblGrid>
        <w:gridCol w:w="1890"/>
        <w:gridCol w:w="5670"/>
        <w:gridCol w:w="4500"/>
        <w:gridCol w:w="900"/>
      </w:tblGrid>
      <w:tr w:rsidR="007E1B04" w:rsidTr="007E1B04">
        <w:trPr>
          <w:cantSplit/>
          <w:trHeight w:val="403"/>
        </w:trPr>
        <w:tc>
          <w:tcPr>
            <w:tcW w:w="1890" w:type="dxa"/>
            <w:tcBorders>
              <w:bottom w:val="single" w:sz="6" w:space="0" w:color="auto"/>
              <w:right w:val="single" w:sz="6" w:space="0" w:color="auto"/>
            </w:tcBorders>
          </w:tcPr>
          <w:p w:rsidR="007E1B04" w:rsidRDefault="007E1B04"/>
        </w:tc>
        <w:tc>
          <w:tcPr>
            <w:tcW w:w="5670" w:type="dxa"/>
            <w:tcBorders>
              <w:top w:val="single" w:sz="6" w:space="0" w:color="auto"/>
              <w:left w:val="single" w:sz="6" w:space="0" w:color="auto"/>
              <w:bottom w:val="nil"/>
              <w:right w:val="nil"/>
            </w:tcBorders>
            <w:vAlign w:val="center"/>
          </w:tcPr>
          <w:p w:rsidR="007E1B04" w:rsidRDefault="007E1B04" w:rsidP="00FD2889">
            <w:pPr>
              <w:jc w:val="center"/>
            </w:pPr>
            <w:r>
              <w:rPr>
                <w:rFonts w:ascii="Arial" w:hAnsi="Arial" w:cs="Arial"/>
                <w:b/>
                <w:bCs/>
                <w:sz w:val="22"/>
                <w:szCs w:val="22"/>
              </w:rPr>
              <w:t>Goal</w:t>
            </w:r>
          </w:p>
        </w:tc>
        <w:tc>
          <w:tcPr>
            <w:tcW w:w="4500" w:type="dxa"/>
            <w:tcBorders>
              <w:top w:val="single" w:sz="6" w:space="0" w:color="auto"/>
              <w:left w:val="single" w:sz="6" w:space="0" w:color="auto"/>
              <w:bottom w:val="nil"/>
              <w:right w:val="single" w:sz="6" w:space="0" w:color="auto"/>
            </w:tcBorders>
            <w:vAlign w:val="center"/>
          </w:tcPr>
          <w:p w:rsidR="007E1B04" w:rsidRDefault="007E1B04" w:rsidP="007E1B04">
            <w:pPr>
              <w:jc w:val="center"/>
              <w:rPr>
                <w:rFonts w:ascii="Arial" w:hAnsi="Arial" w:cs="Arial"/>
                <w:b/>
                <w:bCs/>
                <w:sz w:val="22"/>
                <w:szCs w:val="22"/>
              </w:rPr>
            </w:pPr>
            <w:r>
              <w:rPr>
                <w:rFonts w:ascii="Arial" w:hAnsi="Arial" w:cs="Arial"/>
                <w:b/>
                <w:bCs/>
                <w:sz w:val="22"/>
                <w:szCs w:val="22"/>
              </w:rPr>
              <w:t>Action Plans</w:t>
            </w:r>
          </w:p>
        </w:tc>
        <w:tc>
          <w:tcPr>
            <w:tcW w:w="900" w:type="dxa"/>
            <w:tcBorders>
              <w:top w:val="single" w:sz="6" w:space="0" w:color="auto"/>
              <w:left w:val="single" w:sz="6" w:space="0" w:color="auto"/>
              <w:bottom w:val="nil"/>
              <w:right w:val="single" w:sz="6" w:space="0" w:color="auto"/>
            </w:tcBorders>
            <w:vAlign w:val="center"/>
          </w:tcPr>
          <w:p w:rsidR="007E1B04" w:rsidRPr="007E1B04" w:rsidRDefault="007E1B04" w:rsidP="00FD2889">
            <w:pPr>
              <w:jc w:val="center"/>
              <w:rPr>
                <w:rFonts w:ascii="Arial" w:hAnsi="Arial" w:cs="Arial"/>
                <w:b/>
                <w:sz w:val="22"/>
                <w:szCs w:val="22"/>
              </w:rPr>
            </w:pPr>
            <w:r w:rsidRPr="007E1B04">
              <w:rPr>
                <w:rFonts w:ascii="Arial" w:hAnsi="Arial" w:cs="Arial"/>
                <w:b/>
                <w:sz w:val="22"/>
                <w:szCs w:val="22"/>
              </w:rPr>
              <w:t>Who</w:t>
            </w:r>
          </w:p>
        </w:tc>
      </w:tr>
      <w:tr w:rsidR="007E1B04" w:rsidTr="007E1B04">
        <w:trPr>
          <w:cantSplit/>
          <w:trHeight w:val="403"/>
        </w:trPr>
        <w:tc>
          <w:tcPr>
            <w:tcW w:w="1890" w:type="dxa"/>
            <w:tcBorders>
              <w:top w:val="single" w:sz="6" w:space="0" w:color="auto"/>
              <w:left w:val="single" w:sz="6" w:space="0" w:color="auto"/>
              <w:bottom w:val="nil"/>
              <w:right w:val="nil"/>
            </w:tcBorders>
            <w:vAlign w:val="center"/>
          </w:tcPr>
          <w:p w:rsidR="007E1B04" w:rsidRDefault="007E1B04" w:rsidP="00FD2889">
            <w:pPr>
              <w:jc w:val="center"/>
            </w:pPr>
            <w:r>
              <w:rPr>
                <w:rFonts w:ascii="Arial" w:hAnsi="Arial" w:cs="Arial"/>
                <w:b/>
                <w:bCs/>
                <w:sz w:val="22"/>
                <w:szCs w:val="22"/>
              </w:rPr>
              <w:t>Strategic Planning</w:t>
            </w:r>
          </w:p>
        </w:tc>
        <w:tc>
          <w:tcPr>
            <w:tcW w:w="5670" w:type="dxa"/>
            <w:tcBorders>
              <w:top w:val="single" w:sz="6" w:space="0" w:color="auto"/>
              <w:left w:val="single" w:sz="6" w:space="0" w:color="auto"/>
              <w:bottom w:val="nil"/>
              <w:right w:val="nil"/>
            </w:tcBorders>
          </w:tcPr>
          <w:p w:rsidR="007E1B04" w:rsidRPr="00726EF8" w:rsidRDefault="007E1B04" w:rsidP="00726EF8">
            <w:pPr>
              <w:rPr>
                <w:sz w:val="18"/>
                <w:szCs w:val="18"/>
              </w:rPr>
            </w:pPr>
            <w:r w:rsidRPr="00726EF8">
              <w:rPr>
                <w:rFonts w:ascii="Arial" w:hAnsi="Arial" w:cs="Arial"/>
                <w:sz w:val="18"/>
                <w:szCs w:val="18"/>
              </w:rPr>
              <w:t>The campus has an official strategic plan for advancing CE on campus, which includes viable short and long-range instituionalizing goals</w:t>
            </w:r>
          </w:p>
        </w:tc>
        <w:tc>
          <w:tcPr>
            <w:tcW w:w="4500" w:type="dxa"/>
            <w:tcBorders>
              <w:top w:val="single" w:sz="6" w:space="0" w:color="auto"/>
              <w:left w:val="single" w:sz="6" w:space="0" w:color="auto"/>
              <w:bottom w:val="nil"/>
              <w:right w:val="single" w:sz="6" w:space="0" w:color="auto"/>
            </w:tcBorders>
          </w:tcPr>
          <w:p w:rsidR="007E1B04" w:rsidRPr="00726EF8" w:rsidRDefault="007E1B04" w:rsidP="00726EF8">
            <w:pPr>
              <w:rPr>
                <w:sz w:val="18"/>
                <w:szCs w:val="18"/>
              </w:rPr>
            </w:pPr>
            <w:r w:rsidRPr="00726EF8">
              <w:rPr>
                <w:rFonts w:ascii="Arial" w:hAnsi="Arial" w:cs="Arial"/>
                <w:sz w:val="18"/>
                <w:szCs w:val="18"/>
              </w:rPr>
              <w:t>Faculty fellows have developed an annual action plan and assume responsibility for implementing the plan</w:t>
            </w:r>
          </w:p>
        </w:tc>
        <w:tc>
          <w:tcPr>
            <w:tcW w:w="900" w:type="dxa"/>
            <w:tcBorders>
              <w:top w:val="single" w:sz="6" w:space="0" w:color="auto"/>
              <w:left w:val="single" w:sz="6" w:space="0" w:color="auto"/>
              <w:bottom w:val="nil"/>
              <w:right w:val="single" w:sz="6" w:space="0" w:color="auto"/>
            </w:tcBorders>
            <w:vAlign w:val="center"/>
          </w:tcPr>
          <w:p w:rsidR="007E1B04" w:rsidRPr="00C9671B" w:rsidRDefault="007E1B04" w:rsidP="007E1B04">
            <w:pPr>
              <w:jc w:val="center"/>
              <w:rPr>
                <w:rFonts w:ascii="Arial" w:hAnsi="Arial" w:cs="Arial"/>
                <w:sz w:val="16"/>
                <w:szCs w:val="16"/>
              </w:rPr>
            </w:pPr>
          </w:p>
        </w:tc>
      </w:tr>
      <w:tr w:rsidR="007E1B04" w:rsidTr="003E0232">
        <w:trPr>
          <w:cantSplit/>
          <w:trHeight w:val="403"/>
        </w:trPr>
        <w:tc>
          <w:tcPr>
            <w:tcW w:w="1890" w:type="dxa"/>
            <w:tcBorders>
              <w:top w:val="single" w:sz="6" w:space="0" w:color="auto"/>
              <w:left w:val="single" w:sz="6" w:space="0" w:color="auto"/>
              <w:bottom w:val="nil"/>
              <w:right w:val="nil"/>
            </w:tcBorders>
            <w:vAlign w:val="center"/>
          </w:tcPr>
          <w:p w:rsidR="007E1B04" w:rsidRDefault="007E1B04" w:rsidP="00FD2889">
            <w:pPr>
              <w:jc w:val="center"/>
            </w:pPr>
            <w:r>
              <w:rPr>
                <w:rFonts w:ascii="Arial" w:hAnsi="Arial" w:cs="Arial"/>
                <w:b/>
                <w:bCs/>
                <w:sz w:val="22"/>
                <w:szCs w:val="22"/>
              </w:rPr>
              <w:t>Definition of Civic Engagement</w:t>
            </w:r>
          </w:p>
        </w:tc>
        <w:tc>
          <w:tcPr>
            <w:tcW w:w="5670" w:type="dxa"/>
            <w:tcBorders>
              <w:top w:val="single" w:sz="6" w:space="0" w:color="auto"/>
              <w:left w:val="single" w:sz="6" w:space="0" w:color="auto"/>
              <w:bottom w:val="nil"/>
              <w:right w:val="nil"/>
            </w:tcBorders>
          </w:tcPr>
          <w:p w:rsidR="007E1B04" w:rsidRPr="00726EF8" w:rsidRDefault="007E1B04" w:rsidP="00726EF8">
            <w:pPr>
              <w:rPr>
                <w:sz w:val="18"/>
                <w:szCs w:val="18"/>
              </w:rPr>
            </w:pPr>
            <w:r w:rsidRPr="00726EF8">
              <w:rPr>
                <w:rFonts w:ascii="Arial" w:hAnsi="Arial" w:cs="Arial"/>
                <w:sz w:val="18"/>
                <w:szCs w:val="18"/>
              </w:rPr>
              <w:t>The institution has a formal, universally accepted definition for high quality CE that is used consistently to operationalize many or most aspects of CE on campus.</w:t>
            </w:r>
          </w:p>
        </w:tc>
        <w:tc>
          <w:tcPr>
            <w:tcW w:w="4500" w:type="dxa"/>
            <w:tcBorders>
              <w:top w:val="single" w:sz="6" w:space="0" w:color="auto"/>
              <w:left w:val="single" w:sz="6" w:space="0" w:color="auto"/>
              <w:bottom w:val="nil"/>
              <w:right w:val="single" w:sz="6" w:space="0" w:color="auto"/>
            </w:tcBorders>
          </w:tcPr>
          <w:p w:rsidR="007E1B04" w:rsidRPr="00726EF8" w:rsidRDefault="007E1B04" w:rsidP="00726EF8">
            <w:pPr>
              <w:rPr>
                <w:rFonts w:ascii="Arial" w:hAnsi="Arial" w:cs="Arial"/>
                <w:sz w:val="18"/>
                <w:szCs w:val="18"/>
              </w:rPr>
            </w:pPr>
            <w:r w:rsidRPr="00726EF8">
              <w:rPr>
                <w:rFonts w:ascii="Arial" w:hAnsi="Arial" w:cs="Arial"/>
                <w:sz w:val="18"/>
                <w:szCs w:val="18"/>
              </w:rPr>
              <w:t>Publish definition in program materials and in related course syllabi</w:t>
            </w:r>
          </w:p>
        </w:tc>
        <w:tc>
          <w:tcPr>
            <w:tcW w:w="900" w:type="dxa"/>
            <w:tcBorders>
              <w:top w:val="single" w:sz="6" w:space="0" w:color="auto"/>
              <w:left w:val="single" w:sz="6" w:space="0" w:color="auto"/>
              <w:bottom w:val="nil"/>
              <w:right w:val="single" w:sz="6" w:space="0" w:color="auto"/>
            </w:tcBorders>
            <w:vAlign w:val="center"/>
          </w:tcPr>
          <w:p w:rsidR="007E1B04" w:rsidRPr="007E1B04" w:rsidRDefault="007E1B04" w:rsidP="003E0232">
            <w:pPr>
              <w:jc w:val="center"/>
              <w:rPr>
                <w:rFonts w:ascii="Arial" w:hAnsi="Arial" w:cs="Arial"/>
                <w:sz w:val="20"/>
                <w:szCs w:val="20"/>
              </w:rPr>
            </w:pPr>
          </w:p>
        </w:tc>
      </w:tr>
      <w:tr w:rsidR="007E1B04" w:rsidTr="003E0232">
        <w:trPr>
          <w:cantSplit/>
          <w:trHeight w:val="403"/>
        </w:trPr>
        <w:tc>
          <w:tcPr>
            <w:tcW w:w="1890" w:type="dxa"/>
            <w:tcBorders>
              <w:top w:val="single" w:sz="6" w:space="0" w:color="auto"/>
              <w:left w:val="single" w:sz="6" w:space="0" w:color="auto"/>
              <w:bottom w:val="nil"/>
              <w:right w:val="nil"/>
            </w:tcBorders>
            <w:vAlign w:val="center"/>
          </w:tcPr>
          <w:p w:rsidR="007E1B04" w:rsidRDefault="007E1B04" w:rsidP="00FD2889">
            <w:pPr>
              <w:jc w:val="center"/>
            </w:pPr>
            <w:r>
              <w:rPr>
                <w:rFonts w:ascii="Arial" w:hAnsi="Arial" w:cs="Arial"/>
                <w:b/>
                <w:bCs/>
                <w:sz w:val="22"/>
                <w:szCs w:val="22"/>
              </w:rPr>
              <w:t>Alignment with Institution Mission</w:t>
            </w:r>
          </w:p>
        </w:tc>
        <w:tc>
          <w:tcPr>
            <w:tcW w:w="5670" w:type="dxa"/>
            <w:tcBorders>
              <w:top w:val="single" w:sz="6" w:space="0" w:color="auto"/>
              <w:left w:val="single" w:sz="6" w:space="0" w:color="auto"/>
              <w:bottom w:val="nil"/>
              <w:right w:val="nil"/>
            </w:tcBorders>
          </w:tcPr>
          <w:p w:rsidR="007E1B04" w:rsidRPr="00726EF8" w:rsidRDefault="007E1B04" w:rsidP="00726EF8">
            <w:pPr>
              <w:rPr>
                <w:sz w:val="18"/>
                <w:szCs w:val="18"/>
              </w:rPr>
            </w:pPr>
            <w:r w:rsidRPr="00726EF8">
              <w:rPr>
                <w:rFonts w:ascii="Arial" w:hAnsi="Arial" w:cs="Arial"/>
                <w:sz w:val="18"/>
                <w:szCs w:val="18"/>
              </w:rPr>
              <w:t>CE is part of the primary concern of the institution.  CE is included in the campus’ official mission and/or strategic planning.</w:t>
            </w:r>
          </w:p>
        </w:tc>
        <w:tc>
          <w:tcPr>
            <w:tcW w:w="4500" w:type="dxa"/>
            <w:tcBorders>
              <w:top w:val="single" w:sz="6" w:space="0" w:color="auto"/>
              <w:left w:val="single" w:sz="6" w:space="0" w:color="auto"/>
              <w:bottom w:val="nil"/>
              <w:right w:val="single" w:sz="6" w:space="0" w:color="auto"/>
            </w:tcBorders>
          </w:tcPr>
          <w:p w:rsidR="007E1B04" w:rsidRPr="00726EF8" w:rsidRDefault="007E1B04" w:rsidP="00726EF8">
            <w:pPr>
              <w:rPr>
                <w:rFonts w:ascii="Arial" w:hAnsi="Arial" w:cs="Arial"/>
                <w:sz w:val="18"/>
                <w:szCs w:val="18"/>
              </w:rPr>
            </w:pPr>
            <w:r w:rsidRPr="00726EF8">
              <w:rPr>
                <w:rFonts w:ascii="Arial" w:hAnsi="Arial" w:cs="Arial"/>
                <w:sz w:val="18"/>
                <w:szCs w:val="18"/>
              </w:rPr>
              <w:t>Maintain visibility of CE in university, college and department mission statements and strategic planning activities</w:t>
            </w:r>
          </w:p>
        </w:tc>
        <w:tc>
          <w:tcPr>
            <w:tcW w:w="900" w:type="dxa"/>
            <w:tcBorders>
              <w:top w:val="single" w:sz="6" w:space="0" w:color="auto"/>
              <w:left w:val="single" w:sz="6" w:space="0" w:color="auto"/>
              <w:bottom w:val="nil"/>
              <w:right w:val="single" w:sz="6" w:space="0" w:color="auto"/>
            </w:tcBorders>
            <w:vAlign w:val="center"/>
          </w:tcPr>
          <w:p w:rsidR="007E1B04" w:rsidRPr="007E1B04" w:rsidRDefault="007E1B04" w:rsidP="003E0232">
            <w:pPr>
              <w:jc w:val="center"/>
              <w:rPr>
                <w:rFonts w:ascii="Arial" w:hAnsi="Arial" w:cs="Arial"/>
                <w:sz w:val="20"/>
                <w:szCs w:val="20"/>
              </w:rPr>
            </w:pPr>
          </w:p>
        </w:tc>
      </w:tr>
      <w:tr w:rsidR="007E1B04" w:rsidTr="00497FA7">
        <w:trPr>
          <w:cantSplit/>
          <w:trHeight w:val="403"/>
        </w:trPr>
        <w:tc>
          <w:tcPr>
            <w:tcW w:w="1890" w:type="dxa"/>
            <w:tcBorders>
              <w:top w:val="single" w:sz="6" w:space="0" w:color="auto"/>
              <w:left w:val="single" w:sz="6" w:space="0" w:color="auto"/>
              <w:bottom w:val="single" w:sz="6" w:space="0" w:color="auto"/>
              <w:right w:val="nil"/>
            </w:tcBorders>
            <w:vAlign w:val="center"/>
          </w:tcPr>
          <w:p w:rsidR="007E1B04" w:rsidRDefault="007E1B04" w:rsidP="00FD2889">
            <w:pPr>
              <w:jc w:val="center"/>
            </w:pPr>
            <w:r>
              <w:rPr>
                <w:rFonts w:ascii="Arial" w:hAnsi="Arial" w:cs="Arial"/>
                <w:b/>
                <w:bCs/>
                <w:sz w:val="22"/>
                <w:szCs w:val="22"/>
              </w:rPr>
              <w:t>Alignment with Education Reform Efforts</w:t>
            </w:r>
          </w:p>
        </w:tc>
        <w:tc>
          <w:tcPr>
            <w:tcW w:w="5670" w:type="dxa"/>
            <w:tcBorders>
              <w:top w:val="single" w:sz="6" w:space="0" w:color="auto"/>
              <w:left w:val="single" w:sz="6" w:space="0" w:color="auto"/>
              <w:bottom w:val="single" w:sz="6" w:space="0" w:color="auto"/>
              <w:right w:val="nil"/>
            </w:tcBorders>
          </w:tcPr>
          <w:p w:rsidR="007E1B04" w:rsidRPr="00726EF8" w:rsidRDefault="007E1B04" w:rsidP="00726EF8">
            <w:pPr>
              <w:rPr>
                <w:sz w:val="18"/>
                <w:szCs w:val="18"/>
              </w:rPr>
            </w:pPr>
            <w:r w:rsidRPr="00726EF8">
              <w:rPr>
                <w:rFonts w:ascii="Arial" w:hAnsi="Arial" w:cs="Arial"/>
                <w:sz w:val="18"/>
                <w:szCs w:val="18"/>
              </w:rPr>
              <w:t>CE is tied formally and purposefully to other important, high profile efforts on campus (e.g., campus/community partnership efforts, learning communities, improvement of undergraduate teaching, writing excellence emphasis, etc.).</w:t>
            </w:r>
          </w:p>
        </w:tc>
        <w:tc>
          <w:tcPr>
            <w:tcW w:w="4500" w:type="dxa"/>
            <w:tcBorders>
              <w:top w:val="single" w:sz="6" w:space="0" w:color="auto"/>
              <w:left w:val="single" w:sz="6" w:space="0" w:color="auto"/>
              <w:bottom w:val="single" w:sz="6" w:space="0" w:color="auto"/>
              <w:right w:val="single" w:sz="6" w:space="0" w:color="auto"/>
            </w:tcBorders>
          </w:tcPr>
          <w:p w:rsidR="007E1B04" w:rsidRPr="00726EF8" w:rsidRDefault="00497FA7" w:rsidP="00726EF8">
            <w:pPr>
              <w:rPr>
                <w:rFonts w:ascii="Arial" w:hAnsi="Arial" w:cs="Arial"/>
                <w:sz w:val="18"/>
                <w:szCs w:val="18"/>
              </w:rPr>
            </w:pPr>
            <w:r w:rsidRPr="00726EF8">
              <w:rPr>
                <w:rFonts w:ascii="Arial" w:hAnsi="Arial" w:cs="Arial"/>
                <w:sz w:val="18"/>
                <w:szCs w:val="18"/>
              </w:rPr>
              <w:t>Indentify CE outcome options for programs and/or courses</w:t>
            </w:r>
          </w:p>
        </w:tc>
        <w:tc>
          <w:tcPr>
            <w:tcW w:w="900" w:type="dxa"/>
            <w:tcBorders>
              <w:top w:val="single" w:sz="6" w:space="0" w:color="auto"/>
              <w:left w:val="single" w:sz="6" w:space="0" w:color="auto"/>
              <w:bottom w:val="single" w:sz="6" w:space="0" w:color="auto"/>
              <w:right w:val="single" w:sz="6" w:space="0" w:color="auto"/>
            </w:tcBorders>
            <w:vAlign w:val="center"/>
          </w:tcPr>
          <w:p w:rsidR="007E1B04" w:rsidRDefault="007E1B04" w:rsidP="00497FA7">
            <w:pPr>
              <w:jc w:val="center"/>
              <w:rPr>
                <w:rFonts w:ascii="Arial" w:hAnsi="Arial" w:cs="Arial"/>
                <w:sz w:val="20"/>
                <w:szCs w:val="20"/>
              </w:rPr>
            </w:pPr>
          </w:p>
          <w:p w:rsidR="00497FA7" w:rsidRPr="007E1B04" w:rsidRDefault="00497FA7" w:rsidP="00497FA7">
            <w:pPr>
              <w:jc w:val="center"/>
              <w:rPr>
                <w:rFonts w:ascii="Arial" w:hAnsi="Arial" w:cs="Arial"/>
                <w:sz w:val="20"/>
                <w:szCs w:val="20"/>
              </w:rPr>
            </w:pPr>
          </w:p>
        </w:tc>
      </w:tr>
    </w:tbl>
    <w:p w:rsidR="00FD2889" w:rsidRDefault="00FD2889" w:rsidP="00FD2889">
      <w:pPr>
        <w:rPr>
          <w:rFonts w:ascii="Arial" w:hAnsi="Arial" w:cs="Arial"/>
          <w:b/>
          <w:bCs/>
          <w:u w:val="single"/>
        </w:rPr>
      </w:pPr>
    </w:p>
    <w:p w:rsidR="00FD2889" w:rsidRPr="00666009" w:rsidRDefault="00FD2889" w:rsidP="00FD2889">
      <w:pPr>
        <w:rPr>
          <w:rFonts w:ascii="Arial" w:hAnsi="Arial" w:cs="Arial"/>
          <w:sz w:val="20"/>
          <w:szCs w:val="20"/>
        </w:rPr>
      </w:pPr>
      <w:r w:rsidRPr="00666009">
        <w:rPr>
          <w:rFonts w:ascii="Arial" w:hAnsi="Arial" w:cs="Arial"/>
          <w:sz w:val="20"/>
          <w:szCs w:val="20"/>
        </w:rPr>
        <w:t xml:space="preserve">Adapted from: Furco, Andrew. (2002). Self-Assessment Rubric for the Institutionalization of Service-Learning in Higher Education.  </w:t>
      </w:r>
    </w:p>
    <w:p w:rsidR="00DA1421" w:rsidRDefault="00FD2889" w:rsidP="00666009">
      <w:pPr>
        <w:rPr>
          <w:rFonts w:ascii="Arial" w:hAnsi="Arial" w:cs="Arial"/>
          <w:sz w:val="20"/>
          <w:szCs w:val="20"/>
        </w:rPr>
      </w:pPr>
      <w:r w:rsidRPr="00666009">
        <w:rPr>
          <w:rFonts w:ascii="Arial" w:hAnsi="Arial" w:cs="Arial"/>
          <w:sz w:val="20"/>
          <w:szCs w:val="20"/>
        </w:rPr>
        <w:t>A Project of Campus Compact at Brown University.  University of California, Berkeley.</w:t>
      </w:r>
    </w:p>
    <w:p w:rsidR="00DA1421" w:rsidRPr="00DA1421" w:rsidRDefault="0074323D" w:rsidP="00666009">
      <w:pPr>
        <w:rPr>
          <w:rFonts w:ascii="Arial" w:hAnsi="Arial" w:cs="Arial"/>
          <w:sz w:val="20"/>
          <w:szCs w:val="20"/>
        </w:rPr>
      </w:pPr>
      <w:r>
        <w:rPr>
          <w:rFonts w:ascii="Arial" w:hAnsi="Arial" w:cs="Arial"/>
          <w:sz w:val="20"/>
          <w:szCs w:val="20"/>
        </w:rPr>
        <w:t>CE = Civic Engagement</w:t>
      </w:r>
      <w:r w:rsidR="00DA1421">
        <w:rPr>
          <w:rFonts w:ascii="Arial" w:hAnsi="Arial" w:cs="Arial"/>
          <w:sz w:val="20"/>
          <w:szCs w:val="20"/>
        </w:rPr>
        <w:br/>
      </w:r>
    </w:p>
    <w:p w:rsidR="00BC78DB" w:rsidRDefault="00BC78DB" w:rsidP="00666009">
      <w:pPr>
        <w:rPr>
          <w:rFonts w:ascii="Arial" w:hAnsi="Arial" w:cs="Arial"/>
          <w:b/>
          <w:bCs/>
          <w:sz w:val="22"/>
          <w:szCs w:val="22"/>
          <w:u w:val="single"/>
        </w:rPr>
        <w:sectPr w:rsidR="00BC78DB" w:rsidSect="00E246F5">
          <w:pgSz w:w="15840" w:h="12240" w:orient="landscape"/>
          <w:pgMar w:top="1440" w:right="1440" w:bottom="1440" w:left="1440" w:header="720" w:footer="720" w:gutter="0"/>
          <w:cols w:space="720"/>
        </w:sectPr>
      </w:pPr>
    </w:p>
    <w:p w:rsidR="00666009" w:rsidRPr="00666009" w:rsidRDefault="00666009" w:rsidP="00666009">
      <w:pPr>
        <w:rPr>
          <w:rFonts w:ascii="Arial" w:hAnsi="Arial" w:cs="Arial"/>
          <w:sz w:val="22"/>
          <w:szCs w:val="22"/>
        </w:rPr>
      </w:pPr>
      <w:r w:rsidRPr="00666009">
        <w:rPr>
          <w:rFonts w:ascii="Arial" w:hAnsi="Arial" w:cs="Arial"/>
          <w:b/>
          <w:bCs/>
          <w:sz w:val="22"/>
          <w:szCs w:val="22"/>
          <w:u w:val="single"/>
        </w:rPr>
        <w:lastRenderedPageBreak/>
        <w:t>Dimension II</w:t>
      </w:r>
      <w:r w:rsidRPr="00666009">
        <w:rPr>
          <w:rFonts w:ascii="Arial" w:hAnsi="Arial" w:cs="Arial"/>
          <w:b/>
          <w:bCs/>
          <w:sz w:val="22"/>
          <w:szCs w:val="22"/>
        </w:rPr>
        <w:t>: Faculty Support for and Involvement in Academic Civic Engagement</w:t>
      </w:r>
    </w:p>
    <w:p w:rsidR="00666009" w:rsidRDefault="00666009" w:rsidP="00666009">
      <w:pPr>
        <w:rPr>
          <w:rFonts w:ascii="Arial" w:hAnsi="Arial" w:cs="Arial"/>
        </w:rPr>
      </w:pPr>
    </w:p>
    <w:tbl>
      <w:tblPr>
        <w:tblW w:w="12960" w:type="dxa"/>
        <w:tblInd w:w="105" w:type="dxa"/>
        <w:tblLayout w:type="fixed"/>
        <w:tblCellMar>
          <w:left w:w="105" w:type="dxa"/>
          <w:right w:w="105" w:type="dxa"/>
        </w:tblCellMar>
        <w:tblLook w:val="0000" w:firstRow="0" w:lastRow="0" w:firstColumn="0" w:lastColumn="0" w:noHBand="0" w:noVBand="0"/>
      </w:tblPr>
      <w:tblGrid>
        <w:gridCol w:w="1890"/>
        <w:gridCol w:w="5670"/>
        <w:gridCol w:w="4500"/>
        <w:gridCol w:w="900"/>
      </w:tblGrid>
      <w:tr w:rsidR="00497FA7" w:rsidTr="00497FA7">
        <w:trPr>
          <w:cantSplit/>
          <w:trHeight w:val="403"/>
        </w:trPr>
        <w:tc>
          <w:tcPr>
            <w:tcW w:w="1890" w:type="dxa"/>
            <w:tcBorders>
              <w:top w:val="nil"/>
              <w:left w:val="nil"/>
              <w:bottom w:val="nil"/>
              <w:right w:val="nil"/>
            </w:tcBorders>
          </w:tcPr>
          <w:p w:rsidR="00497FA7" w:rsidRDefault="00497FA7"/>
        </w:tc>
        <w:tc>
          <w:tcPr>
            <w:tcW w:w="5670" w:type="dxa"/>
            <w:tcBorders>
              <w:top w:val="single" w:sz="6" w:space="0" w:color="auto"/>
              <w:left w:val="single" w:sz="6" w:space="0" w:color="auto"/>
              <w:bottom w:val="nil"/>
              <w:right w:val="nil"/>
            </w:tcBorders>
            <w:vAlign w:val="center"/>
          </w:tcPr>
          <w:p w:rsidR="00497FA7" w:rsidRDefault="00497FA7" w:rsidP="00666009">
            <w:pPr>
              <w:jc w:val="center"/>
            </w:pPr>
            <w:r>
              <w:rPr>
                <w:rFonts w:ascii="Arial" w:hAnsi="Arial" w:cs="Arial"/>
                <w:b/>
                <w:bCs/>
                <w:sz w:val="22"/>
                <w:szCs w:val="22"/>
              </w:rPr>
              <w:t>Goal</w:t>
            </w:r>
          </w:p>
        </w:tc>
        <w:tc>
          <w:tcPr>
            <w:tcW w:w="4500" w:type="dxa"/>
            <w:tcBorders>
              <w:top w:val="single" w:sz="6" w:space="0" w:color="auto"/>
              <w:left w:val="single" w:sz="6" w:space="0" w:color="auto"/>
              <w:bottom w:val="nil"/>
              <w:right w:val="single" w:sz="6" w:space="0" w:color="auto"/>
            </w:tcBorders>
            <w:vAlign w:val="center"/>
          </w:tcPr>
          <w:p w:rsidR="00497FA7" w:rsidRDefault="00497FA7" w:rsidP="00666009">
            <w:pPr>
              <w:jc w:val="center"/>
            </w:pPr>
            <w:r>
              <w:rPr>
                <w:rFonts w:ascii="Arial" w:hAnsi="Arial" w:cs="Arial"/>
                <w:b/>
                <w:bCs/>
                <w:sz w:val="22"/>
                <w:szCs w:val="22"/>
              </w:rPr>
              <w:t>Action Plans</w:t>
            </w:r>
          </w:p>
        </w:tc>
        <w:tc>
          <w:tcPr>
            <w:tcW w:w="900" w:type="dxa"/>
            <w:tcBorders>
              <w:top w:val="single" w:sz="6" w:space="0" w:color="auto"/>
              <w:left w:val="single" w:sz="6" w:space="0" w:color="auto"/>
              <w:bottom w:val="nil"/>
              <w:right w:val="single" w:sz="6" w:space="0" w:color="auto"/>
            </w:tcBorders>
            <w:vAlign w:val="center"/>
          </w:tcPr>
          <w:p w:rsidR="00497FA7" w:rsidRDefault="00497FA7" w:rsidP="00497FA7">
            <w:pPr>
              <w:jc w:val="center"/>
              <w:rPr>
                <w:rFonts w:ascii="Arial" w:hAnsi="Arial" w:cs="Arial"/>
                <w:b/>
                <w:bCs/>
                <w:sz w:val="22"/>
                <w:szCs w:val="22"/>
              </w:rPr>
            </w:pPr>
            <w:r w:rsidRPr="007E1B04">
              <w:rPr>
                <w:rFonts w:ascii="Arial" w:hAnsi="Arial" w:cs="Arial"/>
                <w:b/>
                <w:sz w:val="22"/>
                <w:szCs w:val="22"/>
              </w:rPr>
              <w:t>Who</w:t>
            </w:r>
          </w:p>
        </w:tc>
      </w:tr>
      <w:tr w:rsidR="00497FA7" w:rsidTr="00497FA7">
        <w:trPr>
          <w:cantSplit/>
          <w:trHeight w:val="403"/>
        </w:trPr>
        <w:tc>
          <w:tcPr>
            <w:tcW w:w="1890" w:type="dxa"/>
            <w:tcBorders>
              <w:top w:val="single" w:sz="6" w:space="0" w:color="auto"/>
              <w:left w:val="single" w:sz="6" w:space="0" w:color="auto"/>
              <w:bottom w:val="nil"/>
              <w:right w:val="nil"/>
            </w:tcBorders>
            <w:vAlign w:val="center"/>
          </w:tcPr>
          <w:p w:rsidR="00497FA7" w:rsidRDefault="00497FA7" w:rsidP="00666009">
            <w:pPr>
              <w:jc w:val="center"/>
            </w:pPr>
            <w:r>
              <w:rPr>
                <w:rFonts w:ascii="Arial" w:hAnsi="Arial" w:cs="Arial"/>
                <w:b/>
                <w:bCs/>
                <w:sz w:val="22"/>
                <w:szCs w:val="22"/>
              </w:rPr>
              <w:t>Faculty Awareness</w:t>
            </w:r>
          </w:p>
        </w:tc>
        <w:tc>
          <w:tcPr>
            <w:tcW w:w="5670" w:type="dxa"/>
            <w:tcBorders>
              <w:top w:val="single" w:sz="6" w:space="0" w:color="auto"/>
              <w:left w:val="single" w:sz="6" w:space="0" w:color="auto"/>
              <w:bottom w:val="nil"/>
              <w:right w:val="nil"/>
            </w:tcBorders>
          </w:tcPr>
          <w:p w:rsidR="00497FA7" w:rsidRDefault="00497FA7" w:rsidP="00726EF8">
            <w:r>
              <w:rPr>
                <w:rFonts w:ascii="Arial" w:hAnsi="Arial" w:cs="Arial"/>
                <w:sz w:val="18"/>
                <w:szCs w:val="18"/>
              </w:rPr>
              <w:t>A substantial number of faculty members know what CE is and can articulate how CE is different from service-learning, community service, internships, or other experiential learning activities.</w:t>
            </w:r>
          </w:p>
        </w:tc>
        <w:tc>
          <w:tcPr>
            <w:tcW w:w="4500" w:type="dxa"/>
            <w:tcBorders>
              <w:top w:val="single" w:sz="6" w:space="0" w:color="auto"/>
              <w:left w:val="single" w:sz="6" w:space="0" w:color="auto"/>
              <w:bottom w:val="nil"/>
              <w:right w:val="single" w:sz="6" w:space="0" w:color="auto"/>
            </w:tcBorders>
          </w:tcPr>
          <w:p w:rsidR="00497FA7" w:rsidRPr="00666009" w:rsidRDefault="00497FA7" w:rsidP="00726EF8">
            <w:pPr>
              <w:rPr>
                <w:rFonts w:ascii="Arial" w:hAnsi="Arial" w:cs="Arial"/>
                <w:sz w:val="18"/>
                <w:szCs w:val="18"/>
              </w:rPr>
            </w:pPr>
            <w:r w:rsidRPr="00666009">
              <w:rPr>
                <w:rFonts w:ascii="Arial" w:hAnsi="Arial" w:cs="Arial"/>
                <w:sz w:val="18"/>
                <w:szCs w:val="18"/>
              </w:rPr>
              <w:t>Share definitions and participation opportunit</w:t>
            </w:r>
            <w:r>
              <w:rPr>
                <w:rFonts w:ascii="Arial" w:hAnsi="Arial" w:cs="Arial"/>
                <w:sz w:val="18"/>
                <w:szCs w:val="18"/>
              </w:rPr>
              <w:t>ies at new faculty orientations, academic affairs council &amp; at ADCO.</w:t>
            </w:r>
          </w:p>
          <w:p w:rsidR="00497FA7" w:rsidRPr="00666009" w:rsidRDefault="00497FA7" w:rsidP="00726EF8">
            <w:pPr>
              <w:rPr>
                <w:rFonts w:ascii="Arial" w:hAnsi="Arial" w:cs="Arial"/>
                <w:sz w:val="18"/>
                <w:szCs w:val="18"/>
              </w:rPr>
            </w:pPr>
            <w:r w:rsidRPr="00666009">
              <w:rPr>
                <w:rFonts w:ascii="Arial" w:hAnsi="Arial" w:cs="Arial"/>
                <w:sz w:val="18"/>
                <w:szCs w:val="18"/>
              </w:rPr>
              <w:t>Discuss definitions with faculty fellows.</w:t>
            </w:r>
          </w:p>
          <w:p w:rsidR="00497FA7" w:rsidRPr="00666009" w:rsidRDefault="00497FA7" w:rsidP="00726EF8">
            <w:pPr>
              <w:rPr>
                <w:rFonts w:ascii="Arial" w:hAnsi="Arial" w:cs="Arial"/>
                <w:sz w:val="18"/>
                <w:szCs w:val="18"/>
              </w:rPr>
            </w:pPr>
            <w:r w:rsidRPr="00666009">
              <w:rPr>
                <w:rFonts w:ascii="Arial" w:hAnsi="Arial" w:cs="Arial"/>
                <w:sz w:val="18"/>
                <w:szCs w:val="18"/>
              </w:rPr>
              <w:t xml:space="preserve">Faculty fellows will </w:t>
            </w:r>
            <w:r>
              <w:rPr>
                <w:rFonts w:ascii="Arial" w:hAnsi="Arial" w:cs="Arial"/>
                <w:sz w:val="18"/>
                <w:szCs w:val="18"/>
              </w:rPr>
              <w:t xml:space="preserve">use a common template to </w:t>
            </w:r>
            <w:r w:rsidRPr="00666009">
              <w:rPr>
                <w:rFonts w:ascii="Arial" w:hAnsi="Arial" w:cs="Arial"/>
                <w:sz w:val="18"/>
                <w:szCs w:val="18"/>
              </w:rPr>
              <w:t xml:space="preserve">present </w:t>
            </w:r>
            <w:r>
              <w:rPr>
                <w:rFonts w:ascii="Arial" w:hAnsi="Arial" w:cs="Arial"/>
                <w:sz w:val="18"/>
                <w:szCs w:val="18"/>
              </w:rPr>
              <w:t>CE</w:t>
            </w:r>
            <w:r w:rsidRPr="00666009">
              <w:rPr>
                <w:rFonts w:ascii="Arial" w:hAnsi="Arial" w:cs="Arial"/>
                <w:sz w:val="18"/>
                <w:szCs w:val="18"/>
              </w:rPr>
              <w:t xml:space="preserve"> product reports through </w:t>
            </w:r>
            <w:r>
              <w:rPr>
                <w:rFonts w:ascii="Arial" w:hAnsi="Arial" w:cs="Arial"/>
                <w:sz w:val="18"/>
                <w:szCs w:val="18"/>
              </w:rPr>
              <w:t>SOURCE</w:t>
            </w:r>
            <w:r w:rsidRPr="00666009">
              <w:rPr>
                <w:rFonts w:ascii="Arial" w:hAnsi="Arial" w:cs="Arial"/>
                <w:sz w:val="18"/>
                <w:szCs w:val="18"/>
              </w:rPr>
              <w:t>.</w:t>
            </w:r>
          </w:p>
        </w:tc>
        <w:tc>
          <w:tcPr>
            <w:tcW w:w="900" w:type="dxa"/>
            <w:tcBorders>
              <w:top w:val="single" w:sz="6" w:space="0" w:color="auto"/>
              <w:left w:val="single" w:sz="6" w:space="0" w:color="auto"/>
              <w:bottom w:val="nil"/>
              <w:right w:val="single" w:sz="6" w:space="0" w:color="auto"/>
            </w:tcBorders>
            <w:vAlign w:val="center"/>
          </w:tcPr>
          <w:p w:rsidR="00C9671B" w:rsidRPr="00666009" w:rsidRDefault="00C9671B" w:rsidP="00E44508">
            <w:pPr>
              <w:jc w:val="center"/>
              <w:rPr>
                <w:rFonts w:ascii="Arial" w:hAnsi="Arial" w:cs="Arial"/>
                <w:sz w:val="18"/>
                <w:szCs w:val="18"/>
              </w:rPr>
            </w:pPr>
          </w:p>
        </w:tc>
      </w:tr>
      <w:tr w:rsidR="00497FA7" w:rsidTr="00497FA7">
        <w:trPr>
          <w:cantSplit/>
          <w:trHeight w:val="403"/>
        </w:trPr>
        <w:tc>
          <w:tcPr>
            <w:tcW w:w="1890" w:type="dxa"/>
            <w:tcBorders>
              <w:top w:val="single" w:sz="6" w:space="0" w:color="auto"/>
              <w:left w:val="single" w:sz="6" w:space="0" w:color="auto"/>
              <w:bottom w:val="nil"/>
              <w:right w:val="nil"/>
            </w:tcBorders>
            <w:vAlign w:val="center"/>
          </w:tcPr>
          <w:p w:rsidR="00497FA7" w:rsidRDefault="00497FA7" w:rsidP="00666009">
            <w:pPr>
              <w:jc w:val="center"/>
            </w:pPr>
            <w:r>
              <w:rPr>
                <w:rFonts w:ascii="Arial" w:hAnsi="Arial" w:cs="Arial"/>
                <w:b/>
                <w:bCs/>
                <w:sz w:val="22"/>
                <w:szCs w:val="22"/>
              </w:rPr>
              <w:t>Faculty Involvement &amp; Support</w:t>
            </w:r>
          </w:p>
        </w:tc>
        <w:tc>
          <w:tcPr>
            <w:tcW w:w="5670" w:type="dxa"/>
            <w:tcBorders>
              <w:top w:val="single" w:sz="6" w:space="0" w:color="auto"/>
              <w:left w:val="single" w:sz="6" w:space="0" w:color="auto"/>
              <w:bottom w:val="nil"/>
              <w:right w:val="nil"/>
            </w:tcBorders>
          </w:tcPr>
          <w:p w:rsidR="00497FA7" w:rsidRDefault="00497FA7" w:rsidP="00726EF8">
            <w:r>
              <w:rPr>
                <w:rFonts w:ascii="Arial" w:hAnsi="Arial" w:cs="Arial"/>
                <w:sz w:val="18"/>
                <w:szCs w:val="18"/>
              </w:rPr>
              <w:t>A substantial number of influential faculty members participate as instructors, supporters, and advocates of CE and support the infusion of CE both into the institution’s overall mission AND the faculty members’ individual professional work.</w:t>
            </w:r>
          </w:p>
        </w:tc>
        <w:tc>
          <w:tcPr>
            <w:tcW w:w="4500" w:type="dxa"/>
            <w:tcBorders>
              <w:top w:val="single" w:sz="6" w:space="0" w:color="auto"/>
              <w:left w:val="single" w:sz="6" w:space="0" w:color="auto"/>
              <w:bottom w:val="nil"/>
              <w:right w:val="single" w:sz="6" w:space="0" w:color="auto"/>
            </w:tcBorders>
          </w:tcPr>
          <w:p w:rsidR="00497FA7" w:rsidRPr="00666009" w:rsidRDefault="00497FA7" w:rsidP="00726EF8">
            <w:pPr>
              <w:rPr>
                <w:rFonts w:ascii="Arial" w:hAnsi="Arial" w:cs="Arial"/>
                <w:sz w:val="18"/>
                <w:szCs w:val="18"/>
              </w:rPr>
            </w:pPr>
            <w:r w:rsidRPr="00666009">
              <w:rPr>
                <w:rFonts w:ascii="Arial" w:hAnsi="Arial" w:cs="Arial"/>
                <w:sz w:val="18"/>
                <w:szCs w:val="18"/>
              </w:rPr>
              <w:t xml:space="preserve">Each faculty fellow will integrate </w:t>
            </w:r>
            <w:r>
              <w:rPr>
                <w:rFonts w:ascii="Arial" w:hAnsi="Arial" w:cs="Arial"/>
                <w:sz w:val="18"/>
                <w:szCs w:val="18"/>
              </w:rPr>
              <w:t>CE</w:t>
            </w:r>
            <w:r w:rsidRPr="00666009">
              <w:rPr>
                <w:rFonts w:ascii="Arial" w:hAnsi="Arial" w:cs="Arial"/>
                <w:sz w:val="18"/>
                <w:szCs w:val="18"/>
              </w:rPr>
              <w:t xml:space="preserve"> opportunities into their curriculum</w:t>
            </w:r>
          </w:p>
        </w:tc>
        <w:tc>
          <w:tcPr>
            <w:tcW w:w="900" w:type="dxa"/>
            <w:tcBorders>
              <w:top w:val="single" w:sz="6" w:space="0" w:color="auto"/>
              <w:left w:val="single" w:sz="6" w:space="0" w:color="auto"/>
              <w:bottom w:val="nil"/>
              <w:right w:val="single" w:sz="6" w:space="0" w:color="auto"/>
            </w:tcBorders>
            <w:vAlign w:val="center"/>
          </w:tcPr>
          <w:p w:rsidR="00497FA7" w:rsidRPr="00666009" w:rsidRDefault="00497FA7" w:rsidP="00497FA7">
            <w:pPr>
              <w:jc w:val="center"/>
              <w:rPr>
                <w:rFonts w:ascii="Arial" w:hAnsi="Arial" w:cs="Arial"/>
                <w:sz w:val="18"/>
                <w:szCs w:val="18"/>
              </w:rPr>
            </w:pPr>
          </w:p>
        </w:tc>
      </w:tr>
      <w:tr w:rsidR="00497FA7" w:rsidTr="00497FA7">
        <w:trPr>
          <w:cantSplit/>
          <w:trHeight w:val="403"/>
        </w:trPr>
        <w:tc>
          <w:tcPr>
            <w:tcW w:w="1890" w:type="dxa"/>
            <w:tcBorders>
              <w:top w:val="single" w:sz="6" w:space="0" w:color="auto"/>
              <w:left w:val="single" w:sz="6" w:space="0" w:color="auto"/>
              <w:bottom w:val="nil"/>
              <w:right w:val="nil"/>
            </w:tcBorders>
            <w:vAlign w:val="center"/>
          </w:tcPr>
          <w:p w:rsidR="00497FA7" w:rsidRDefault="00497FA7" w:rsidP="00666009">
            <w:pPr>
              <w:jc w:val="center"/>
              <w:rPr>
                <w:rFonts w:ascii="Arial" w:hAnsi="Arial" w:cs="Arial"/>
                <w:b/>
                <w:bCs/>
                <w:sz w:val="22"/>
                <w:szCs w:val="22"/>
              </w:rPr>
            </w:pPr>
            <w:r>
              <w:rPr>
                <w:rFonts w:ascii="Arial" w:hAnsi="Arial" w:cs="Arial"/>
                <w:b/>
                <w:bCs/>
                <w:sz w:val="22"/>
                <w:szCs w:val="22"/>
              </w:rPr>
              <w:t>Faculty</w:t>
            </w:r>
          </w:p>
          <w:p w:rsidR="00497FA7" w:rsidRDefault="00497FA7" w:rsidP="00666009">
            <w:pPr>
              <w:jc w:val="center"/>
            </w:pPr>
            <w:r>
              <w:rPr>
                <w:rFonts w:ascii="Arial" w:hAnsi="Arial" w:cs="Arial"/>
                <w:b/>
                <w:bCs/>
                <w:sz w:val="22"/>
                <w:szCs w:val="22"/>
              </w:rPr>
              <w:t>Leadership</w:t>
            </w:r>
          </w:p>
        </w:tc>
        <w:tc>
          <w:tcPr>
            <w:tcW w:w="5670" w:type="dxa"/>
            <w:tcBorders>
              <w:top w:val="single" w:sz="6" w:space="0" w:color="auto"/>
              <w:left w:val="single" w:sz="6" w:space="0" w:color="auto"/>
              <w:bottom w:val="nil"/>
              <w:right w:val="nil"/>
            </w:tcBorders>
          </w:tcPr>
          <w:p w:rsidR="00497FA7" w:rsidRDefault="00497FA7" w:rsidP="00726EF8">
            <w:r>
              <w:rPr>
                <w:rFonts w:ascii="Arial" w:hAnsi="Arial" w:cs="Arial"/>
                <w:sz w:val="18"/>
                <w:szCs w:val="18"/>
              </w:rPr>
              <w:t>A highly respected, influential group of faculty members serves as the campus’ CE leaders and/or advocates.</w:t>
            </w:r>
          </w:p>
        </w:tc>
        <w:tc>
          <w:tcPr>
            <w:tcW w:w="4500" w:type="dxa"/>
            <w:tcBorders>
              <w:top w:val="single" w:sz="6" w:space="0" w:color="auto"/>
              <w:left w:val="single" w:sz="6" w:space="0" w:color="auto"/>
              <w:bottom w:val="nil"/>
              <w:right w:val="single" w:sz="6" w:space="0" w:color="auto"/>
            </w:tcBorders>
          </w:tcPr>
          <w:p w:rsidR="00497FA7" w:rsidRPr="00666009" w:rsidRDefault="00497FA7" w:rsidP="00726EF8">
            <w:pPr>
              <w:rPr>
                <w:rFonts w:ascii="Arial" w:hAnsi="Arial" w:cs="Arial"/>
                <w:sz w:val="18"/>
                <w:szCs w:val="18"/>
              </w:rPr>
            </w:pPr>
            <w:r>
              <w:rPr>
                <w:rFonts w:ascii="Arial" w:hAnsi="Arial" w:cs="Arial"/>
                <w:sz w:val="18"/>
                <w:szCs w:val="18"/>
              </w:rPr>
              <w:t xml:space="preserve">Each </w:t>
            </w:r>
            <w:r w:rsidR="005B4AA1">
              <w:rPr>
                <w:rFonts w:ascii="Arial" w:hAnsi="Arial" w:cs="Arial"/>
                <w:sz w:val="18"/>
                <w:szCs w:val="18"/>
              </w:rPr>
              <w:t>f</w:t>
            </w:r>
            <w:r w:rsidRPr="00666009">
              <w:rPr>
                <w:rFonts w:ascii="Arial" w:hAnsi="Arial" w:cs="Arial"/>
                <w:sz w:val="18"/>
                <w:szCs w:val="18"/>
              </w:rPr>
              <w:t>aculty</w:t>
            </w:r>
            <w:r>
              <w:rPr>
                <w:rFonts w:ascii="Arial" w:hAnsi="Arial" w:cs="Arial"/>
                <w:sz w:val="18"/>
                <w:szCs w:val="18"/>
              </w:rPr>
              <w:t xml:space="preserve"> fellow</w:t>
            </w:r>
            <w:r w:rsidRPr="00666009">
              <w:rPr>
                <w:rFonts w:ascii="Arial" w:hAnsi="Arial" w:cs="Arial"/>
                <w:sz w:val="18"/>
                <w:szCs w:val="18"/>
              </w:rPr>
              <w:t xml:space="preserve"> will serve as </w:t>
            </w:r>
            <w:r>
              <w:rPr>
                <w:rFonts w:ascii="Arial" w:hAnsi="Arial" w:cs="Arial"/>
                <w:sz w:val="18"/>
                <w:szCs w:val="18"/>
              </w:rPr>
              <w:t xml:space="preserve">an </w:t>
            </w:r>
            <w:r w:rsidRPr="00666009">
              <w:rPr>
                <w:rFonts w:ascii="Arial" w:hAnsi="Arial" w:cs="Arial"/>
                <w:sz w:val="18"/>
                <w:szCs w:val="18"/>
              </w:rPr>
              <w:t xml:space="preserve">advocate for </w:t>
            </w:r>
            <w:r>
              <w:rPr>
                <w:rFonts w:ascii="Arial" w:hAnsi="Arial" w:cs="Arial"/>
                <w:sz w:val="18"/>
                <w:szCs w:val="18"/>
              </w:rPr>
              <w:t>CE</w:t>
            </w:r>
            <w:r w:rsidRPr="00666009">
              <w:rPr>
                <w:rFonts w:ascii="Arial" w:hAnsi="Arial" w:cs="Arial"/>
                <w:sz w:val="18"/>
                <w:szCs w:val="18"/>
              </w:rPr>
              <w:t xml:space="preserve"> in their departments and colleges</w:t>
            </w:r>
          </w:p>
        </w:tc>
        <w:tc>
          <w:tcPr>
            <w:tcW w:w="900" w:type="dxa"/>
            <w:tcBorders>
              <w:top w:val="single" w:sz="6" w:space="0" w:color="auto"/>
              <w:left w:val="single" w:sz="6" w:space="0" w:color="auto"/>
              <w:bottom w:val="nil"/>
              <w:right w:val="single" w:sz="6" w:space="0" w:color="auto"/>
            </w:tcBorders>
            <w:vAlign w:val="center"/>
          </w:tcPr>
          <w:p w:rsidR="00497FA7" w:rsidRDefault="00497FA7" w:rsidP="00497FA7">
            <w:pPr>
              <w:jc w:val="center"/>
              <w:rPr>
                <w:rFonts w:ascii="Arial" w:hAnsi="Arial" w:cs="Arial"/>
                <w:sz w:val="18"/>
                <w:szCs w:val="18"/>
              </w:rPr>
            </w:pPr>
          </w:p>
        </w:tc>
      </w:tr>
      <w:tr w:rsidR="00497FA7" w:rsidTr="003E0232">
        <w:trPr>
          <w:cantSplit/>
          <w:trHeight w:val="728"/>
        </w:trPr>
        <w:tc>
          <w:tcPr>
            <w:tcW w:w="1890" w:type="dxa"/>
            <w:vMerge w:val="restart"/>
            <w:tcBorders>
              <w:top w:val="single" w:sz="6" w:space="0" w:color="auto"/>
              <w:left w:val="single" w:sz="6" w:space="0" w:color="auto"/>
              <w:right w:val="nil"/>
            </w:tcBorders>
            <w:vAlign w:val="center"/>
          </w:tcPr>
          <w:p w:rsidR="00497FA7" w:rsidRDefault="00497FA7" w:rsidP="00666009">
            <w:pPr>
              <w:jc w:val="center"/>
            </w:pPr>
            <w:r>
              <w:rPr>
                <w:rFonts w:ascii="Arial" w:hAnsi="Arial" w:cs="Arial"/>
                <w:b/>
                <w:bCs/>
                <w:sz w:val="22"/>
                <w:szCs w:val="22"/>
              </w:rPr>
              <w:t>Faculty Incentives &amp; Rewards</w:t>
            </w:r>
          </w:p>
        </w:tc>
        <w:tc>
          <w:tcPr>
            <w:tcW w:w="5670" w:type="dxa"/>
            <w:vMerge w:val="restart"/>
            <w:tcBorders>
              <w:top w:val="single" w:sz="6" w:space="0" w:color="auto"/>
              <w:left w:val="single" w:sz="6" w:space="0" w:color="auto"/>
              <w:right w:val="nil"/>
            </w:tcBorders>
          </w:tcPr>
          <w:p w:rsidR="00497FA7" w:rsidRDefault="00497FA7" w:rsidP="00726EF8">
            <w:r>
              <w:rPr>
                <w:rFonts w:ascii="Arial" w:hAnsi="Arial" w:cs="Arial"/>
                <w:sz w:val="18"/>
                <w:szCs w:val="18"/>
              </w:rPr>
              <w:t>Faculty who are involved in CE receive recognition for it during the campus’ review, tenure, and promotion process; faculty are encouraged and are provided various incentives (mini-grants, sabbaticals, funds for CE conferences,  etc.) to pursue CE activities.</w:t>
            </w:r>
          </w:p>
        </w:tc>
        <w:tc>
          <w:tcPr>
            <w:tcW w:w="4500" w:type="dxa"/>
            <w:vMerge w:val="restart"/>
            <w:tcBorders>
              <w:top w:val="single" w:sz="6" w:space="0" w:color="auto"/>
              <w:left w:val="single" w:sz="6" w:space="0" w:color="auto"/>
              <w:right w:val="single" w:sz="6" w:space="0" w:color="auto"/>
            </w:tcBorders>
          </w:tcPr>
          <w:p w:rsidR="00497FA7" w:rsidRPr="00666009" w:rsidRDefault="00497FA7" w:rsidP="00726EF8">
            <w:pPr>
              <w:rPr>
                <w:rFonts w:ascii="Arial" w:hAnsi="Arial" w:cs="Arial"/>
                <w:sz w:val="18"/>
                <w:szCs w:val="18"/>
              </w:rPr>
            </w:pPr>
            <w:r w:rsidRPr="00666009">
              <w:rPr>
                <w:rFonts w:ascii="Arial" w:hAnsi="Arial" w:cs="Arial"/>
                <w:sz w:val="18"/>
                <w:szCs w:val="18"/>
              </w:rPr>
              <w:t xml:space="preserve">Faculty fellows will identify and serve as advocates for recognition strategies for </w:t>
            </w:r>
            <w:r>
              <w:rPr>
                <w:rFonts w:ascii="Arial" w:hAnsi="Arial" w:cs="Arial"/>
                <w:sz w:val="18"/>
                <w:szCs w:val="18"/>
              </w:rPr>
              <w:t>CE</w:t>
            </w:r>
            <w:r w:rsidRPr="00666009">
              <w:rPr>
                <w:rFonts w:ascii="Arial" w:hAnsi="Arial" w:cs="Arial"/>
                <w:sz w:val="18"/>
                <w:szCs w:val="18"/>
              </w:rPr>
              <w:t xml:space="preserve"> within their departments and colleges.</w:t>
            </w:r>
          </w:p>
          <w:p w:rsidR="00497FA7" w:rsidRPr="00666009" w:rsidRDefault="00497FA7" w:rsidP="00726EF8">
            <w:pPr>
              <w:rPr>
                <w:rFonts w:ascii="Arial" w:hAnsi="Arial" w:cs="Arial"/>
                <w:sz w:val="18"/>
                <w:szCs w:val="18"/>
              </w:rPr>
            </w:pPr>
            <w:r w:rsidRPr="00666009">
              <w:rPr>
                <w:rFonts w:ascii="Arial" w:hAnsi="Arial" w:cs="Arial"/>
                <w:sz w:val="18"/>
                <w:szCs w:val="18"/>
              </w:rPr>
              <w:t xml:space="preserve">Faculty fellows are encouraged to present and participate in </w:t>
            </w:r>
            <w:r>
              <w:rPr>
                <w:rFonts w:ascii="Arial" w:hAnsi="Arial" w:cs="Arial"/>
                <w:sz w:val="18"/>
                <w:szCs w:val="18"/>
              </w:rPr>
              <w:t>CE</w:t>
            </w:r>
            <w:r w:rsidRPr="00666009">
              <w:rPr>
                <w:rFonts w:ascii="Arial" w:hAnsi="Arial" w:cs="Arial"/>
                <w:sz w:val="18"/>
                <w:szCs w:val="18"/>
              </w:rPr>
              <w:t xml:space="preserve"> conferences and regional or national projects.  Participation is financed by the Sphere funding.</w:t>
            </w:r>
          </w:p>
        </w:tc>
        <w:tc>
          <w:tcPr>
            <w:tcW w:w="900" w:type="dxa"/>
            <w:tcBorders>
              <w:top w:val="single" w:sz="6" w:space="0" w:color="auto"/>
              <w:left w:val="single" w:sz="6" w:space="0" w:color="auto"/>
              <w:bottom w:val="single" w:sz="6" w:space="0" w:color="auto"/>
              <w:right w:val="single" w:sz="6" w:space="0" w:color="auto"/>
            </w:tcBorders>
            <w:vAlign w:val="center"/>
          </w:tcPr>
          <w:p w:rsidR="00FF7FAF" w:rsidRPr="00666009" w:rsidRDefault="00FF7FAF" w:rsidP="00497FA7">
            <w:pPr>
              <w:jc w:val="center"/>
              <w:rPr>
                <w:rFonts w:ascii="Arial" w:hAnsi="Arial" w:cs="Arial"/>
                <w:sz w:val="18"/>
                <w:szCs w:val="18"/>
              </w:rPr>
            </w:pPr>
          </w:p>
        </w:tc>
      </w:tr>
      <w:tr w:rsidR="00497FA7" w:rsidTr="003E0232">
        <w:trPr>
          <w:cantSplit/>
          <w:trHeight w:val="727"/>
        </w:trPr>
        <w:tc>
          <w:tcPr>
            <w:tcW w:w="1890" w:type="dxa"/>
            <w:vMerge/>
            <w:tcBorders>
              <w:left w:val="single" w:sz="6" w:space="0" w:color="auto"/>
              <w:bottom w:val="single" w:sz="6" w:space="0" w:color="auto"/>
              <w:right w:val="nil"/>
            </w:tcBorders>
            <w:vAlign w:val="center"/>
          </w:tcPr>
          <w:p w:rsidR="00497FA7" w:rsidRDefault="00497FA7" w:rsidP="00666009">
            <w:pPr>
              <w:jc w:val="center"/>
              <w:rPr>
                <w:rFonts w:ascii="Arial" w:hAnsi="Arial" w:cs="Arial"/>
                <w:b/>
                <w:bCs/>
                <w:sz w:val="22"/>
                <w:szCs w:val="22"/>
              </w:rPr>
            </w:pPr>
          </w:p>
        </w:tc>
        <w:tc>
          <w:tcPr>
            <w:tcW w:w="5670" w:type="dxa"/>
            <w:vMerge/>
            <w:tcBorders>
              <w:left w:val="single" w:sz="6" w:space="0" w:color="auto"/>
              <w:bottom w:val="single" w:sz="6" w:space="0" w:color="auto"/>
              <w:right w:val="nil"/>
            </w:tcBorders>
          </w:tcPr>
          <w:p w:rsidR="00497FA7" w:rsidRDefault="00497FA7">
            <w:pPr>
              <w:jc w:val="both"/>
              <w:rPr>
                <w:rFonts w:ascii="Arial" w:hAnsi="Arial" w:cs="Arial"/>
                <w:sz w:val="18"/>
                <w:szCs w:val="18"/>
              </w:rPr>
            </w:pPr>
          </w:p>
        </w:tc>
        <w:tc>
          <w:tcPr>
            <w:tcW w:w="4500" w:type="dxa"/>
            <w:vMerge/>
            <w:tcBorders>
              <w:left w:val="single" w:sz="6" w:space="0" w:color="auto"/>
              <w:bottom w:val="single" w:sz="6" w:space="0" w:color="auto"/>
              <w:right w:val="single" w:sz="6" w:space="0" w:color="auto"/>
            </w:tcBorders>
          </w:tcPr>
          <w:p w:rsidR="00497FA7" w:rsidRPr="00666009" w:rsidRDefault="00497FA7">
            <w:pPr>
              <w:jc w:val="both"/>
              <w:rPr>
                <w:rFonts w:ascii="Arial" w:hAnsi="Arial" w:cs="Arial"/>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rsidR="00497FA7" w:rsidRPr="00666009" w:rsidRDefault="00497FA7" w:rsidP="00497FA7">
            <w:pPr>
              <w:jc w:val="center"/>
              <w:rPr>
                <w:rFonts w:ascii="Arial" w:hAnsi="Arial" w:cs="Arial"/>
                <w:sz w:val="18"/>
                <w:szCs w:val="18"/>
              </w:rPr>
            </w:pPr>
          </w:p>
        </w:tc>
      </w:tr>
    </w:tbl>
    <w:p w:rsidR="00BC78DB" w:rsidRDefault="00BC78DB" w:rsidP="00666009">
      <w:pPr>
        <w:rPr>
          <w:rFonts w:ascii="Arial" w:hAnsi="Arial" w:cs="Arial"/>
          <w:b/>
          <w:bCs/>
          <w:sz w:val="22"/>
          <w:szCs w:val="22"/>
          <w:u w:val="single"/>
        </w:rPr>
      </w:pPr>
    </w:p>
    <w:p w:rsidR="00666009" w:rsidRPr="00666009" w:rsidRDefault="00666009" w:rsidP="00666009">
      <w:pPr>
        <w:rPr>
          <w:rFonts w:ascii="Arial" w:hAnsi="Arial" w:cs="Arial"/>
          <w:sz w:val="22"/>
          <w:szCs w:val="22"/>
        </w:rPr>
      </w:pPr>
      <w:r w:rsidRPr="00666009">
        <w:rPr>
          <w:rFonts w:ascii="Arial" w:hAnsi="Arial" w:cs="Arial"/>
          <w:b/>
          <w:bCs/>
          <w:sz w:val="22"/>
          <w:szCs w:val="22"/>
          <w:u w:val="single"/>
        </w:rPr>
        <w:t>Dimension III</w:t>
      </w:r>
      <w:r w:rsidRPr="00666009">
        <w:rPr>
          <w:rFonts w:ascii="Arial" w:hAnsi="Arial" w:cs="Arial"/>
          <w:b/>
          <w:bCs/>
          <w:sz w:val="22"/>
          <w:szCs w:val="22"/>
        </w:rPr>
        <w:t>: Student Support for and Involvement in Academic Civic Engagement</w:t>
      </w:r>
    </w:p>
    <w:p w:rsidR="00666009" w:rsidRDefault="00666009" w:rsidP="00666009">
      <w:pPr>
        <w:rPr>
          <w:rFonts w:ascii="Arial" w:hAnsi="Arial" w:cs="Arial"/>
        </w:rPr>
      </w:pPr>
    </w:p>
    <w:tbl>
      <w:tblPr>
        <w:tblW w:w="12960" w:type="dxa"/>
        <w:tblInd w:w="105" w:type="dxa"/>
        <w:tblLayout w:type="fixed"/>
        <w:tblCellMar>
          <w:left w:w="105" w:type="dxa"/>
          <w:right w:w="105" w:type="dxa"/>
        </w:tblCellMar>
        <w:tblLook w:val="0000" w:firstRow="0" w:lastRow="0" w:firstColumn="0" w:lastColumn="0" w:noHBand="0" w:noVBand="0"/>
      </w:tblPr>
      <w:tblGrid>
        <w:gridCol w:w="1890"/>
        <w:gridCol w:w="5670"/>
        <w:gridCol w:w="4500"/>
        <w:gridCol w:w="900"/>
      </w:tblGrid>
      <w:tr w:rsidR="00FF7FAF" w:rsidTr="00BE7A66">
        <w:trPr>
          <w:cantSplit/>
          <w:trHeight w:val="403"/>
        </w:trPr>
        <w:tc>
          <w:tcPr>
            <w:tcW w:w="1890" w:type="dxa"/>
            <w:tcBorders>
              <w:top w:val="nil"/>
              <w:left w:val="nil"/>
              <w:bottom w:val="nil"/>
              <w:right w:val="nil"/>
            </w:tcBorders>
          </w:tcPr>
          <w:p w:rsidR="00FF7FAF" w:rsidRDefault="00FF7FAF"/>
        </w:tc>
        <w:tc>
          <w:tcPr>
            <w:tcW w:w="5670" w:type="dxa"/>
            <w:tcBorders>
              <w:top w:val="single" w:sz="6" w:space="0" w:color="auto"/>
              <w:left w:val="single" w:sz="6" w:space="0" w:color="auto"/>
              <w:bottom w:val="nil"/>
              <w:right w:val="nil"/>
            </w:tcBorders>
            <w:vAlign w:val="center"/>
          </w:tcPr>
          <w:p w:rsidR="00FF7FAF" w:rsidRDefault="00FF7FAF" w:rsidP="00666009">
            <w:pPr>
              <w:jc w:val="center"/>
            </w:pPr>
            <w:r>
              <w:rPr>
                <w:rFonts w:ascii="Arial" w:hAnsi="Arial" w:cs="Arial"/>
                <w:b/>
                <w:bCs/>
                <w:sz w:val="22"/>
                <w:szCs w:val="22"/>
              </w:rPr>
              <w:t>Goal</w:t>
            </w:r>
          </w:p>
        </w:tc>
        <w:tc>
          <w:tcPr>
            <w:tcW w:w="4500" w:type="dxa"/>
            <w:tcBorders>
              <w:top w:val="single" w:sz="6" w:space="0" w:color="auto"/>
              <w:left w:val="single" w:sz="6" w:space="0" w:color="auto"/>
              <w:bottom w:val="nil"/>
              <w:right w:val="single" w:sz="6" w:space="0" w:color="auto"/>
            </w:tcBorders>
            <w:vAlign w:val="center"/>
          </w:tcPr>
          <w:p w:rsidR="00FF7FAF" w:rsidRDefault="00FF7FAF" w:rsidP="00666009">
            <w:pPr>
              <w:jc w:val="center"/>
            </w:pPr>
            <w:r>
              <w:rPr>
                <w:rFonts w:ascii="Arial" w:hAnsi="Arial" w:cs="Arial"/>
                <w:b/>
                <w:bCs/>
                <w:sz w:val="22"/>
                <w:szCs w:val="22"/>
              </w:rPr>
              <w:t>Action Plans</w:t>
            </w:r>
          </w:p>
        </w:tc>
        <w:tc>
          <w:tcPr>
            <w:tcW w:w="900" w:type="dxa"/>
            <w:tcBorders>
              <w:top w:val="single" w:sz="6" w:space="0" w:color="auto"/>
              <w:left w:val="single" w:sz="6" w:space="0" w:color="auto"/>
              <w:bottom w:val="nil"/>
              <w:right w:val="single" w:sz="6" w:space="0" w:color="auto"/>
            </w:tcBorders>
            <w:vAlign w:val="center"/>
          </w:tcPr>
          <w:p w:rsidR="00FF7FAF" w:rsidRDefault="00BE7A66" w:rsidP="00BE7A66">
            <w:pPr>
              <w:jc w:val="center"/>
              <w:rPr>
                <w:rFonts w:ascii="Arial" w:hAnsi="Arial" w:cs="Arial"/>
                <w:b/>
                <w:bCs/>
                <w:sz w:val="22"/>
                <w:szCs w:val="22"/>
              </w:rPr>
            </w:pPr>
            <w:r w:rsidRPr="007E1B04">
              <w:rPr>
                <w:rFonts w:ascii="Arial" w:hAnsi="Arial" w:cs="Arial"/>
                <w:b/>
                <w:sz w:val="22"/>
                <w:szCs w:val="22"/>
              </w:rPr>
              <w:t>Who</w:t>
            </w:r>
          </w:p>
        </w:tc>
      </w:tr>
      <w:tr w:rsidR="00FF7FAF" w:rsidTr="00BE7A66">
        <w:trPr>
          <w:cantSplit/>
          <w:trHeight w:val="403"/>
        </w:trPr>
        <w:tc>
          <w:tcPr>
            <w:tcW w:w="1890" w:type="dxa"/>
            <w:tcBorders>
              <w:top w:val="single" w:sz="6" w:space="0" w:color="auto"/>
              <w:left w:val="single" w:sz="6" w:space="0" w:color="auto"/>
              <w:bottom w:val="nil"/>
              <w:right w:val="nil"/>
            </w:tcBorders>
            <w:vAlign w:val="center"/>
          </w:tcPr>
          <w:p w:rsidR="00FF7FAF" w:rsidRDefault="00FF7FAF" w:rsidP="00666009">
            <w:pPr>
              <w:jc w:val="center"/>
            </w:pPr>
            <w:r>
              <w:rPr>
                <w:rFonts w:ascii="Arial" w:hAnsi="Arial" w:cs="Arial"/>
                <w:b/>
                <w:bCs/>
                <w:sz w:val="22"/>
                <w:szCs w:val="22"/>
              </w:rPr>
              <w:t>Student Awareness</w:t>
            </w:r>
          </w:p>
        </w:tc>
        <w:tc>
          <w:tcPr>
            <w:tcW w:w="5670" w:type="dxa"/>
            <w:tcBorders>
              <w:top w:val="single" w:sz="6" w:space="0" w:color="auto"/>
              <w:left w:val="single" w:sz="6" w:space="0" w:color="auto"/>
              <w:bottom w:val="nil"/>
              <w:right w:val="nil"/>
            </w:tcBorders>
          </w:tcPr>
          <w:p w:rsidR="00FF7FAF" w:rsidRDefault="00FF7FAF" w:rsidP="00726EF8">
            <w:r>
              <w:rPr>
                <w:rFonts w:ascii="Arial" w:hAnsi="Arial" w:cs="Arial"/>
                <w:sz w:val="18"/>
                <w:szCs w:val="18"/>
              </w:rPr>
              <w:t>There are campus-wide, coordinated mechanisms (e.g., CE and service-learning listings in the schedule of classes, course catalogs, etc.) that make students aware of the various CE and service-learning courses, resources, and opportunities that are available to them.</w:t>
            </w:r>
          </w:p>
        </w:tc>
        <w:tc>
          <w:tcPr>
            <w:tcW w:w="4500" w:type="dxa"/>
            <w:tcBorders>
              <w:top w:val="single" w:sz="6" w:space="0" w:color="auto"/>
              <w:left w:val="single" w:sz="6" w:space="0" w:color="auto"/>
              <w:bottom w:val="nil"/>
              <w:right w:val="single" w:sz="6" w:space="0" w:color="auto"/>
            </w:tcBorders>
          </w:tcPr>
          <w:p w:rsidR="00FF7FAF" w:rsidRPr="000573DA" w:rsidRDefault="00FF7FAF" w:rsidP="00726EF8">
            <w:pPr>
              <w:rPr>
                <w:rFonts w:ascii="Arial" w:hAnsi="Arial" w:cs="Arial"/>
                <w:sz w:val="18"/>
                <w:szCs w:val="18"/>
              </w:rPr>
            </w:pPr>
            <w:r>
              <w:rPr>
                <w:rFonts w:ascii="Arial" w:hAnsi="Arial" w:cs="Arial"/>
                <w:sz w:val="18"/>
                <w:szCs w:val="18"/>
              </w:rPr>
              <w:t>Identify the process for designating classes as CE (CE) classes in class schedules and/or the catalog. (Use writing course (w) model)</w:t>
            </w:r>
          </w:p>
        </w:tc>
        <w:tc>
          <w:tcPr>
            <w:tcW w:w="900" w:type="dxa"/>
            <w:tcBorders>
              <w:top w:val="single" w:sz="6" w:space="0" w:color="auto"/>
              <w:left w:val="single" w:sz="6" w:space="0" w:color="auto"/>
              <w:bottom w:val="nil"/>
              <w:right w:val="single" w:sz="6" w:space="0" w:color="auto"/>
            </w:tcBorders>
            <w:vAlign w:val="center"/>
          </w:tcPr>
          <w:p w:rsidR="00C9671B" w:rsidRPr="00C9671B" w:rsidRDefault="00C9671B" w:rsidP="00BE7A66">
            <w:pPr>
              <w:jc w:val="center"/>
              <w:rPr>
                <w:rFonts w:ascii="Arial" w:hAnsi="Arial" w:cs="Arial"/>
                <w:sz w:val="16"/>
                <w:szCs w:val="16"/>
              </w:rPr>
            </w:pPr>
          </w:p>
        </w:tc>
      </w:tr>
      <w:tr w:rsidR="00FF7FAF" w:rsidTr="00BE7A66">
        <w:trPr>
          <w:cantSplit/>
          <w:trHeight w:val="403"/>
        </w:trPr>
        <w:tc>
          <w:tcPr>
            <w:tcW w:w="1890" w:type="dxa"/>
            <w:tcBorders>
              <w:top w:val="single" w:sz="6" w:space="0" w:color="auto"/>
              <w:left w:val="single" w:sz="6" w:space="0" w:color="auto"/>
              <w:bottom w:val="nil"/>
              <w:right w:val="nil"/>
            </w:tcBorders>
            <w:vAlign w:val="center"/>
          </w:tcPr>
          <w:p w:rsidR="00FF7FAF" w:rsidRDefault="00FF7FAF" w:rsidP="00666009">
            <w:pPr>
              <w:jc w:val="center"/>
            </w:pPr>
            <w:r>
              <w:rPr>
                <w:rFonts w:ascii="Arial" w:hAnsi="Arial" w:cs="Arial"/>
                <w:b/>
                <w:bCs/>
                <w:sz w:val="22"/>
                <w:szCs w:val="22"/>
              </w:rPr>
              <w:t>Student Opportunities</w:t>
            </w:r>
          </w:p>
        </w:tc>
        <w:tc>
          <w:tcPr>
            <w:tcW w:w="5670" w:type="dxa"/>
            <w:tcBorders>
              <w:top w:val="single" w:sz="6" w:space="0" w:color="auto"/>
              <w:left w:val="single" w:sz="6" w:space="0" w:color="auto"/>
              <w:bottom w:val="nil"/>
              <w:right w:val="nil"/>
            </w:tcBorders>
          </w:tcPr>
          <w:p w:rsidR="00FF7FAF" w:rsidRDefault="00FF7FAF" w:rsidP="00726EF8">
            <w:r>
              <w:rPr>
                <w:rFonts w:ascii="Arial" w:hAnsi="Arial" w:cs="Arial"/>
                <w:sz w:val="18"/>
                <w:szCs w:val="18"/>
              </w:rPr>
              <w:t>CE options (in which service is integrated in core academic courses) are available to students in many areas throughout the academy, regardless of the student’s major, year in school, or academic and social interests.</w:t>
            </w:r>
          </w:p>
        </w:tc>
        <w:tc>
          <w:tcPr>
            <w:tcW w:w="4500" w:type="dxa"/>
            <w:tcBorders>
              <w:top w:val="single" w:sz="6" w:space="0" w:color="auto"/>
              <w:left w:val="single" w:sz="6" w:space="0" w:color="auto"/>
              <w:bottom w:val="nil"/>
              <w:right w:val="single" w:sz="6" w:space="0" w:color="auto"/>
            </w:tcBorders>
          </w:tcPr>
          <w:p w:rsidR="00FF7FAF" w:rsidRDefault="00FF7FAF" w:rsidP="00726EF8">
            <w:pPr>
              <w:rPr>
                <w:rFonts w:ascii="Arial" w:hAnsi="Arial" w:cs="Arial"/>
                <w:sz w:val="18"/>
                <w:szCs w:val="18"/>
              </w:rPr>
            </w:pPr>
            <w:r>
              <w:rPr>
                <w:rFonts w:ascii="Arial" w:hAnsi="Arial" w:cs="Arial"/>
                <w:sz w:val="18"/>
                <w:szCs w:val="18"/>
              </w:rPr>
              <w:t>Increase enrollment of student volunteers who are using their curriculum to conduct service in credit bearing CE classes.</w:t>
            </w:r>
          </w:p>
          <w:p w:rsidR="00FF7FAF" w:rsidRPr="000573DA" w:rsidRDefault="00FF7FAF" w:rsidP="00726EF8">
            <w:pPr>
              <w:rPr>
                <w:rFonts w:ascii="Arial" w:hAnsi="Arial" w:cs="Arial"/>
                <w:sz w:val="18"/>
                <w:szCs w:val="18"/>
              </w:rPr>
            </w:pPr>
            <w:r>
              <w:rPr>
                <w:rFonts w:ascii="Arial" w:hAnsi="Arial" w:cs="Arial"/>
                <w:sz w:val="18"/>
                <w:szCs w:val="18"/>
              </w:rPr>
              <w:t>Identify strategies for merging UNIV 101 and UNIV 109</w:t>
            </w:r>
            <w:r w:rsidR="00BE7A66">
              <w:rPr>
                <w:rFonts w:ascii="Arial" w:hAnsi="Arial" w:cs="Arial"/>
                <w:sz w:val="18"/>
                <w:szCs w:val="18"/>
              </w:rPr>
              <w:t xml:space="preserve"> or integrating service into 101.</w:t>
            </w:r>
          </w:p>
        </w:tc>
        <w:tc>
          <w:tcPr>
            <w:tcW w:w="900" w:type="dxa"/>
            <w:tcBorders>
              <w:top w:val="single" w:sz="6" w:space="0" w:color="auto"/>
              <w:left w:val="single" w:sz="6" w:space="0" w:color="auto"/>
              <w:bottom w:val="nil"/>
              <w:right w:val="single" w:sz="6" w:space="0" w:color="auto"/>
            </w:tcBorders>
            <w:vAlign w:val="center"/>
          </w:tcPr>
          <w:p w:rsidR="00FF7FAF" w:rsidRDefault="00FF7FAF" w:rsidP="00BE7A66">
            <w:pPr>
              <w:jc w:val="center"/>
              <w:rPr>
                <w:rFonts w:ascii="Arial" w:hAnsi="Arial" w:cs="Arial"/>
                <w:sz w:val="18"/>
                <w:szCs w:val="18"/>
              </w:rPr>
            </w:pPr>
          </w:p>
        </w:tc>
      </w:tr>
      <w:tr w:rsidR="00FF7FAF" w:rsidTr="00BE7A66">
        <w:trPr>
          <w:cantSplit/>
          <w:trHeight w:val="403"/>
        </w:trPr>
        <w:tc>
          <w:tcPr>
            <w:tcW w:w="1890" w:type="dxa"/>
            <w:tcBorders>
              <w:top w:val="single" w:sz="6" w:space="0" w:color="auto"/>
              <w:left w:val="single" w:sz="6" w:space="0" w:color="auto"/>
              <w:bottom w:val="single" w:sz="6" w:space="0" w:color="auto"/>
              <w:right w:val="nil"/>
            </w:tcBorders>
            <w:vAlign w:val="center"/>
          </w:tcPr>
          <w:p w:rsidR="00FF7FAF" w:rsidRDefault="00FF7FAF" w:rsidP="009A4990">
            <w:pPr>
              <w:jc w:val="center"/>
            </w:pPr>
            <w:r>
              <w:rPr>
                <w:rFonts w:ascii="Arial" w:hAnsi="Arial" w:cs="Arial"/>
                <w:b/>
                <w:bCs/>
                <w:sz w:val="22"/>
                <w:szCs w:val="22"/>
              </w:rPr>
              <w:t>Student Incentives &amp; Rewards</w:t>
            </w:r>
          </w:p>
        </w:tc>
        <w:tc>
          <w:tcPr>
            <w:tcW w:w="5670" w:type="dxa"/>
            <w:tcBorders>
              <w:top w:val="single" w:sz="6" w:space="0" w:color="auto"/>
              <w:left w:val="single" w:sz="6" w:space="0" w:color="auto"/>
              <w:bottom w:val="single" w:sz="6" w:space="0" w:color="auto"/>
              <w:right w:val="nil"/>
            </w:tcBorders>
          </w:tcPr>
          <w:p w:rsidR="00FF7FAF" w:rsidRDefault="00FF7FAF" w:rsidP="00726EF8">
            <w:r>
              <w:rPr>
                <w:rFonts w:ascii="Arial" w:hAnsi="Arial" w:cs="Arial"/>
                <w:sz w:val="18"/>
                <w:szCs w:val="18"/>
              </w:rPr>
              <w:t>The campus has one or more formal mechanisms in place (e.g., catalogued list of CE courses, CE notation on student’s transcripts, etc.) that encourage students to participate in CE and reward students for their participation in CE.</w:t>
            </w:r>
          </w:p>
        </w:tc>
        <w:tc>
          <w:tcPr>
            <w:tcW w:w="4500" w:type="dxa"/>
            <w:tcBorders>
              <w:top w:val="single" w:sz="6" w:space="0" w:color="auto"/>
              <w:left w:val="single" w:sz="6" w:space="0" w:color="auto"/>
              <w:bottom w:val="single" w:sz="6" w:space="0" w:color="auto"/>
              <w:right w:val="single" w:sz="6" w:space="0" w:color="auto"/>
            </w:tcBorders>
          </w:tcPr>
          <w:p w:rsidR="00FF7FAF" w:rsidRDefault="00FF7FAF" w:rsidP="00726EF8">
            <w:pPr>
              <w:rPr>
                <w:rFonts w:ascii="Arial" w:hAnsi="Arial" w:cs="Arial"/>
                <w:sz w:val="18"/>
                <w:szCs w:val="18"/>
              </w:rPr>
            </w:pPr>
            <w:r>
              <w:rPr>
                <w:rFonts w:ascii="Arial" w:hAnsi="Arial" w:cs="Arial"/>
                <w:sz w:val="18"/>
                <w:szCs w:val="18"/>
              </w:rPr>
              <w:t>Indentify strategies for integrating and recognizing CE productivity with the CWU leadership transcript.</w:t>
            </w:r>
          </w:p>
          <w:p w:rsidR="00FF7FAF" w:rsidRPr="000573DA" w:rsidRDefault="00FF7FAF" w:rsidP="00726EF8">
            <w:pPr>
              <w:rPr>
                <w:rFonts w:ascii="Arial" w:hAnsi="Arial" w:cs="Arial"/>
                <w:sz w:val="18"/>
                <w:szCs w:val="18"/>
              </w:rPr>
            </w:pPr>
            <w:r>
              <w:rPr>
                <w:rFonts w:ascii="Arial" w:hAnsi="Arial" w:cs="Arial"/>
                <w:sz w:val="18"/>
                <w:szCs w:val="18"/>
              </w:rPr>
              <w:t>Investigate the feasibility of developing a CE gen ed course and/or a graduate requirement.</w:t>
            </w:r>
          </w:p>
        </w:tc>
        <w:tc>
          <w:tcPr>
            <w:tcW w:w="900" w:type="dxa"/>
            <w:tcBorders>
              <w:top w:val="single" w:sz="6" w:space="0" w:color="auto"/>
              <w:left w:val="single" w:sz="6" w:space="0" w:color="auto"/>
              <w:bottom w:val="single" w:sz="6" w:space="0" w:color="auto"/>
              <w:right w:val="single" w:sz="6" w:space="0" w:color="auto"/>
            </w:tcBorders>
            <w:vAlign w:val="center"/>
          </w:tcPr>
          <w:p w:rsidR="00FF7FAF" w:rsidRDefault="00FF7FAF" w:rsidP="00BE7A66">
            <w:pPr>
              <w:jc w:val="center"/>
              <w:rPr>
                <w:rFonts w:ascii="Arial" w:hAnsi="Arial" w:cs="Arial"/>
                <w:sz w:val="18"/>
                <w:szCs w:val="18"/>
              </w:rPr>
            </w:pPr>
          </w:p>
        </w:tc>
      </w:tr>
      <w:tr w:rsidR="00FF7FAF" w:rsidTr="00BE7A66">
        <w:trPr>
          <w:cantSplit/>
          <w:trHeight w:val="403"/>
        </w:trPr>
        <w:tc>
          <w:tcPr>
            <w:tcW w:w="1890" w:type="dxa"/>
            <w:tcBorders>
              <w:top w:val="single" w:sz="6" w:space="0" w:color="auto"/>
              <w:left w:val="single" w:sz="6" w:space="0" w:color="auto"/>
              <w:bottom w:val="single" w:sz="6" w:space="0" w:color="auto"/>
              <w:right w:val="nil"/>
            </w:tcBorders>
            <w:vAlign w:val="center"/>
          </w:tcPr>
          <w:p w:rsidR="00FF7FAF" w:rsidRDefault="00FF7FAF" w:rsidP="00BC78DB">
            <w:pPr>
              <w:jc w:val="center"/>
            </w:pPr>
            <w:r>
              <w:rPr>
                <w:rFonts w:ascii="Arial" w:hAnsi="Arial" w:cs="Arial"/>
                <w:b/>
                <w:bCs/>
                <w:sz w:val="22"/>
                <w:szCs w:val="22"/>
              </w:rPr>
              <w:t>Student Leadership</w:t>
            </w:r>
          </w:p>
        </w:tc>
        <w:tc>
          <w:tcPr>
            <w:tcW w:w="5670" w:type="dxa"/>
            <w:tcBorders>
              <w:top w:val="single" w:sz="6" w:space="0" w:color="auto"/>
              <w:left w:val="single" w:sz="6" w:space="0" w:color="auto"/>
              <w:bottom w:val="single" w:sz="6" w:space="0" w:color="auto"/>
              <w:right w:val="nil"/>
            </w:tcBorders>
          </w:tcPr>
          <w:p w:rsidR="00FF7FAF" w:rsidRDefault="00FF7FAF" w:rsidP="00726EF8">
            <w:r>
              <w:rPr>
                <w:rFonts w:ascii="Arial" w:hAnsi="Arial" w:cs="Arial"/>
                <w:sz w:val="18"/>
                <w:szCs w:val="18"/>
              </w:rPr>
              <w:t>Students are welcomed and encouraged to serve as advocates and ambassadors for institutionalizing CE in their departments or throughout the campus.</w:t>
            </w:r>
          </w:p>
        </w:tc>
        <w:tc>
          <w:tcPr>
            <w:tcW w:w="4500" w:type="dxa"/>
            <w:tcBorders>
              <w:top w:val="single" w:sz="6" w:space="0" w:color="auto"/>
              <w:left w:val="single" w:sz="6" w:space="0" w:color="auto"/>
              <w:bottom w:val="single" w:sz="6" w:space="0" w:color="auto"/>
              <w:right w:val="single" w:sz="6" w:space="0" w:color="auto"/>
            </w:tcBorders>
          </w:tcPr>
          <w:p w:rsidR="00FF7FAF" w:rsidRPr="000573DA" w:rsidRDefault="00FF7FAF" w:rsidP="00726EF8">
            <w:pPr>
              <w:rPr>
                <w:rFonts w:ascii="Arial" w:hAnsi="Arial" w:cs="Arial"/>
                <w:sz w:val="18"/>
                <w:szCs w:val="18"/>
              </w:rPr>
            </w:pPr>
            <w:r>
              <w:rPr>
                <w:rFonts w:ascii="Arial" w:hAnsi="Arial" w:cs="Arial"/>
                <w:sz w:val="18"/>
                <w:szCs w:val="18"/>
              </w:rPr>
              <w:t xml:space="preserve">Recognize CE student </w:t>
            </w:r>
            <w:r w:rsidR="00BE7A66">
              <w:rPr>
                <w:rFonts w:ascii="Arial" w:hAnsi="Arial" w:cs="Arial"/>
                <w:sz w:val="18"/>
                <w:szCs w:val="18"/>
              </w:rPr>
              <w:t>accomplishments</w:t>
            </w:r>
            <w:r>
              <w:rPr>
                <w:rFonts w:ascii="Arial" w:hAnsi="Arial" w:cs="Arial"/>
                <w:sz w:val="18"/>
                <w:szCs w:val="18"/>
              </w:rPr>
              <w:t xml:space="preserve"> on the CWU Leadership transcript</w:t>
            </w:r>
          </w:p>
        </w:tc>
        <w:tc>
          <w:tcPr>
            <w:tcW w:w="900" w:type="dxa"/>
            <w:tcBorders>
              <w:top w:val="single" w:sz="6" w:space="0" w:color="auto"/>
              <w:left w:val="single" w:sz="6" w:space="0" w:color="auto"/>
              <w:bottom w:val="single" w:sz="6" w:space="0" w:color="auto"/>
              <w:right w:val="single" w:sz="6" w:space="0" w:color="auto"/>
            </w:tcBorders>
            <w:vAlign w:val="center"/>
          </w:tcPr>
          <w:p w:rsidR="00FF7FAF" w:rsidRDefault="00FF7FAF" w:rsidP="00BE7A66">
            <w:pPr>
              <w:jc w:val="center"/>
              <w:rPr>
                <w:rFonts w:ascii="Arial" w:hAnsi="Arial" w:cs="Arial"/>
                <w:sz w:val="18"/>
                <w:szCs w:val="18"/>
              </w:rPr>
            </w:pPr>
          </w:p>
        </w:tc>
      </w:tr>
    </w:tbl>
    <w:p w:rsidR="00666009" w:rsidRDefault="00666009" w:rsidP="00666009">
      <w:pPr>
        <w:sectPr w:rsidR="00666009" w:rsidSect="00BC78DB">
          <w:pgSz w:w="15840" w:h="12240" w:orient="landscape"/>
          <w:pgMar w:top="720" w:right="1440" w:bottom="720" w:left="1440" w:header="720" w:footer="720" w:gutter="0"/>
          <w:cols w:space="720"/>
        </w:sectPr>
      </w:pPr>
    </w:p>
    <w:p w:rsidR="00BC78DB" w:rsidRDefault="00BC78DB" w:rsidP="00666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u w:val="single"/>
        </w:rPr>
      </w:pPr>
    </w:p>
    <w:p w:rsidR="00666009" w:rsidRDefault="00BC78DB" w:rsidP="00666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rPr>
      </w:pPr>
      <w:r>
        <w:rPr>
          <w:rFonts w:ascii="Arial" w:hAnsi="Arial" w:cs="Arial"/>
          <w:b/>
          <w:bCs/>
          <w:sz w:val="22"/>
          <w:szCs w:val="22"/>
          <w:u w:val="single"/>
        </w:rPr>
        <w:br w:type="page"/>
      </w:r>
      <w:r w:rsidR="00666009" w:rsidRPr="00666009">
        <w:rPr>
          <w:rFonts w:ascii="Arial" w:hAnsi="Arial" w:cs="Arial"/>
          <w:b/>
          <w:bCs/>
          <w:sz w:val="22"/>
          <w:szCs w:val="22"/>
          <w:u w:val="single"/>
        </w:rPr>
        <w:lastRenderedPageBreak/>
        <w:t>Dimension IV</w:t>
      </w:r>
      <w:r w:rsidR="00666009" w:rsidRPr="00666009">
        <w:rPr>
          <w:rFonts w:ascii="Arial" w:hAnsi="Arial" w:cs="Arial"/>
          <w:b/>
          <w:bCs/>
          <w:sz w:val="22"/>
          <w:szCs w:val="22"/>
        </w:rPr>
        <w:t>: Community Participation and Partnerships</w:t>
      </w:r>
    </w:p>
    <w:p w:rsidR="00C83FB9" w:rsidRPr="00666009" w:rsidRDefault="00C83FB9" w:rsidP="00666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tbl>
      <w:tblPr>
        <w:tblW w:w="12960" w:type="dxa"/>
        <w:tblInd w:w="105" w:type="dxa"/>
        <w:tblLayout w:type="fixed"/>
        <w:tblCellMar>
          <w:left w:w="105" w:type="dxa"/>
          <w:right w:w="105" w:type="dxa"/>
        </w:tblCellMar>
        <w:tblLook w:val="0000" w:firstRow="0" w:lastRow="0" w:firstColumn="0" w:lastColumn="0" w:noHBand="0" w:noVBand="0"/>
      </w:tblPr>
      <w:tblGrid>
        <w:gridCol w:w="1890"/>
        <w:gridCol w:w="5670"/>
        <w:gridCol w:w="4500"/>
        <w:gridCol w:w="900"/>
      </w:tblGrid>
      <w:tr w:rsidR="00BE7A66" w:rsidTr="00525D0E">
        <w:trPr>
          <w:cantSplit/>
          <w:trHeight w:val="403"/>
        </w:trPr>
        <w:tc>
          <w:tcPr>
            <w:tcW w:w="1890" w:type="dxa"/>
            <w:tcBorders>
              <w:top w:val="nil"/>
              <w:left w:val="nil"/>
              <w:bottom w:val="nil"/>
              <w:right w:val="nil"/>
            </w:tcBorders>
          </w:tcPr>
          <w:p w:rsidR="00BE7A66" w:rsidRDefault="00BE7A66"/>
        </w:tc>
        <w:tc>
          <w:tcPr>
            <w:tcW w:w="5670" w:type="dxa"/>
            <w:tcBorders>
              <w:top w:val="single" w:sz="6" w:space="0" w:color="auto"/>
              <w:left w:val="single" w:sz="6" w:space="0" w:color="auto"/>
              <w:bottom w:val="nil"/>
              <w:right w:val="nil"/>
            </w:tcBorders>
            <w:vAlign w:val="center"/>
          </w:tcPr>
          <w:p w:rsidR="00BE7A66" w:rsidRDefault="00BE7A66" w:rsidP="00666009">
            <w:pPr>
              <w:jc w:val="center"/>
            </w:pPr>
            <w:r>
              <w:rPr>
                <w:rFonts w:ascii="Arial" w:hAnsi="Arial" w:cs="Arial"/>
                <w:b/>
                <w:bCs/>
                <w:sz w:val="22"/>
                <w:szCs w:val="22"/>
              </w:rPr>
              <w:t>Goal</w:t>
            </w:r>
          </w:p>
        </w:tc>
        <w:tc>
          <w:tcPr>
            <w:tcW w:w="4500" w:type="dxa"/>
            <w:tcBorders>
              <w:top w:val="single" w:sz="6" w:space="0" w:color="auto"/>
              <w:left w:val="single" w:sz="6" w:space="0" w:color="auto"/>
              <w:bottom w:val="nil"/>
              <w:right w:val="single" w:sz="6" w:space="0" w:color="auto"/>
            </w:tcBorders>
            <w:vAlign w:val="center"/>
          </w:tcPr>
          <w:p w:rsidR="00BE7A66" w:rsidRDefault="00BE7A66" w:rsidP="00666009">
            <w:pPr>
              <w:jc w:val="center"/>
            </w:pPr>
            <w:r>
              <w:rPr>
                <w:rFonts w:ascii="Arial" w:hAnsi="Arial" w:cs="Arial"/>
                <w:b/>
                <w:bCs/>
                <w:sz w:val="22"/>
                <w:szCs w:val="22"/>
              </w:rPr>
              <w:t>Action Plans</w:t>
            </w:r>
          </w:p>
        </w:tc>
        <w:tc>
          <w:tcPr>
            <w:tcW w:w="900" w:type="dxa"/>
            <w:tcBorders>
              <w:top w:val="single" w:sz="6" w:space="0" w:color="auto"/>
              <w:left w:val="single" w:sz="6" w:space="0" w:color="auto"/>
              <w:bottom w:val="nil"/>
              <w:right w:val="single" w:sz="6" w:space="0" w:color="auto"/>
            </w:tcBorders>
            <w:vAlign w:val="center"/>
          </w:tcPr>
          <w:p w:rsidR="00BE7A66" w:rsidRDefault="00525D0E" w:rsidP="00525D0E">
            <w:pPr>
              <w:jc w:val="center"/>
              <w:rPr>
                <w:rFonts w:ascii="Arial" w:hAnsi="Arial" w:cs="Arial"/>
                <w:b/>
                <w:bCs/>
                <w:sz w:val="22"/>
                <w:szCs w:val="22"/>
              </w:rPr>
            </w:pPr>
            <w:r w:rsidRPr="007E1B04">
              <w:rPr>
                <w:rFonts w:ascii="Arial" w:hAnsi="Arial" w:cs="Arial"/>
                <w:b/>
                <w:sz w:val="22"/>
                <w:szCs w:val="22"/>
              </w:rPr>
              <w:t>Who</w:t>
            </w:r>
          </w:p>
        </w:tc>
      </w:tr>
      <w:tr w:rsidR="00BE7A66" w:rsidTr="00525D0E">
        <w:trPr>
          <w:cantSplit/>
          <w:trHeight w:val="403"/>
        </w:trPr>
        <w:tc>
          <w:tcPr>
            <w:tcW w:w="1890" w:type="dxa"/>
            <w:tcBorders>
              <w:top w:val="single" w:sz="6" w:space="0" w:color="auto"/>
              <w:left w:val="single" w:sz="6" w:space="0" w:color="auto"/>
              <w:bottom w:val="nil"/>
              <w:right w:val="nil"/>
            </w:tcBorders>
            <w:vAlign w:val="center"/>
          </w:tcPr>
          <w:p w:rsidR="00BE7A66" w:rsidRDefault="00BE7A66" w:rsidP="00666009">
            <w:pPr>
              <w:jc w:val="center"/>
            </w:pPr>
            <w:r>
              <w:rPr>
                <w:rFonts w:ascii="Arial" w:hAnsi="Arial" w:cs="Arial"/>
                <w:b/>
                <w:bCs/>
                <w:sz w:val="22"/>
                <w:szCs w:val="22"/>
              </w:rPr>
              <w:t>Community Partner Awareness</w:t>
            </w:r>
          </w:p>
        </w:tc>
        <w:tc>
          <w:tcPr>
            <w:tcW w:w="5670" w:type="dxa"/>
            <w:tcBorders>
              <w:top w:val="single" w:sz="6" w:space="0" w:color="auto"/>
              <w:left w:val="single" w:sz="6" w:space="0" w:color="auto"/>
              <w:bottom w:val="nil"/>
              <w:right w:val="nil"/>
            </w:tcBorders>
          </w:tcPr>
          <w:p w:rsidR="00BE7A66" w:rsidRDefault="00BE7A66" w:rsidP="00726EF8">
            <w:r>
              <w:rPr>
                <w:rFonts w:ascii="Arial" w:hAnsi="Arial" w:cs="Arial"/>
                <w:sz w:val="18"/>
                <w:szCs w:val="18"/>
              </w:rPr>
              <w:t>Most community agencies that partner with the college or university are aware of the campus’ goals for CE and the range of CE opportunities that are available to students.</w:t>
            </w:r>
          </w:p>
        </w:tc>
        <w:tc>
          <w:tcPr>
            <w:tcW w:w="4500" w:type="dxa"/>
            <w:tcBorders>
              <w:top w:val="single" w:sz="6" w:space="0" w:color="auto"/>
              <w:left w:val="single" w:sz="6" w:space="0" w:color="auto"/>
              <w:bottom w:val="nil"/>
              <w:right w:val="single" w:sz="6" w:space="0" w:color="auto"/>
            </w:tcBorders>
          </w:tcPr>
          <w:p w:rsidR="00BE7A66" w:rsidRPr="00726EF8" w:rsidRDefault="00BE7A66" w:rsidP="00726EF8">
            <w:pPr>
              <w:rPr>
                <w:rFonts w:ascii="Arial" w:hAnsi="Arial" w:cs="Arial"/>
                <w:sz w:val="18"/>
                <w:szCs w:val="18"/>
              </w:rPr>
            </w:pPr>
            <w:r w:rsidRPr="00726EF8">
              <w:rPr>
                <w:rFonts w:ascii="Arial" w:hAnsi="Arial" w:cs="Arial"/>
                <w:sz w:val="18"/>
                <w:szCs w:val="18"/>
              </w:rPr>
              <w:t>Use the community/staff liaison to present CE program opportunities to community partners</w:t>
            </w:r>
            <w:r w:rsidR="00BF2D3F" w:rsidRPr="00726EF8">
              <w:rPr>
                <w:rFonts w:ascii="Arial" w:hAnsi="Arial" w:cs="Arial"/>
                <w:sz w:val="18"/>
                <w:szCs w:val="18"/>
              </w:rPr>
              <w:t>, students &amp; faculty</w:t>
            </w:r>
          </w:p>
        </w:tc>
        <w:tc>
          <w:tcPr>
            <w:tcW w:w="900" w:type="dxa"/>
            <w:tcBorders>
              <w:top w:val="single" w:sz="6" w:space="0" w:color="auto"/>
              <w:left w:val="single" w:sz="6" w:space="0" w:color="auto"/>
              <w:bottom w:val="nil"/>
              <w:right w:val="single" w:sz="6" w:space="0" w:color="auto"/>
            </w:tcBorders>
            <w:vAlign w:val="center"/>
          </w:tcPr>
          <w:p w:rsidR="00C9671B" w:rsidRDefault="00C9671B" w:rsidP="00525D0E">
            <w:pPr>
              <w:jc w:val="center"/>
              <w:rPr>
                <w:rFonts w:ascii="Arial" w:hAnsi="Arial" w:cs="Arial"/>
                <w:sz w:val="20"/>
                <w:szCs w:val="20"/>
              </w:rPr>
            </w:pPr>
          </w:p>
        </w:tc>
      </w:tr>
      <w:tr w:rsidR="00BE7A66" w:rsidTr="00525D0E">
        <w:trPr>
          <w:cantSplit/>
          <w:trHeight w:val="403"/>
        </w:trPr>
        <w:tc>
          <w:tcPr>
            <w:tcW w:w="1890" w:type="dxa"/>
            <w:tcBorders>
              <w:top w:val="single" w:sz="6" w:space="0" w:color="auto"/>
              <w:left w:val="single" w:sz="6" w:space="0" w:color="auto"/>
              <w:bottom w:val="nil"/>
              <w:right w:val="nil"/>
            </w:tcBorders>
            <w:vAlign w:val="center"/>
          </w:tcPr>
          <w:p w:rsidR="00BE7A66" w:rsidRDefault="00BE7A66" w:rsidP="00666009">
            <w:pPr>
              <w:jc w:val="center"/>
              <w:rPr>
                <w:rFonts w:ascii="Arial" w:hAnsi="Arial" w:cs="Arial"/>
                <w:b/>
                <w:bCs/>
                <w:sz w:val="22"/>
                <w:szCs w:val="22"/>
              </w:rPr>
            </w:pPr>
            <w:r>
              <w:rPr>
                <w:rFonts w:ascii="Arial" w:hAnsi="Arial" w:cs="Arial"/>
                <w:b/>
                <w:bCs/>
                <w:sz w:val="22"/>
                <w:szCs w:val="22"/>
              </w:rPr>
              <w:t>Mutual</w:t>
            </w:r>
          </w:p>
          <w:p w:rsidR="00BE7A66" w:rsidRDefault="00BE7A66" w:rsidP="00666009">
            <w:pPr>
              <w:jc w:val="center"/>
            </w:pPr>
            <w:r>
              <w:rPr>
                <w:rFonts w:ascii="Arial" w:hAnsi="Arial" w:cs="Arial"/>
                <w:b/>
                <w:bCs/>
                <w:sz w:val="22"/>
                <w:szCs w:val="22"/>
              </w:rPr>
              <w:t>Understanding</w:t>
            </w:r>
          </w:p>
        </w:tc>
        <w:tc>
          <w:tcPr>
            <w:tcW w:w="5670" w:type="dxa"/>
            <w:tcBorders>
              <w:top w:val="single" w:sz="6" w:space="0" w:color="auto"/>
              <w:left w:val="single" w:sz="6" w:space="0" w:color="auto"/>
              <w:bottom w:val="nil"/>
              <w:right w:val="nil"/>
            </w:tcBorders>
          </w:tcPr>
          <w:p w:rsidR="00BE7A66" w:rsidRDefault="00BE7A66" w:rsidP="00726EF8">
            <w:r>
              <w:rPr>
                <w:rFonts w:ascii="Arial" w:hAnsi="Arial" w:cs="Arial"/>
                <w:sz w:val="18"/>
                <w:szCs w:val="18"/>
              </w:rPr>
              <w:t>Both the campus and community representatives are aware of and sensitive to each other’s needs, timelines, goals, resources, and capacity for developing and implementing CE activities.</w:t>
            </w:r>
          </w:p>
        </w:tc>
        <w:tc>
          <w:tcPr>
            <w:tcW w:w="4500" w:type="dxa"/>
            <w:tcBorders>
              <w:top w:val="single" w:sz="6" w:space="0" w:color="auto"/>
              <w:left w:val="single" w:sz="6" w:space="0" w:color="auto"/>
              <w:bottom w:val="nil"/>
              <w:right w:val="single" w:sz="6" w:space="0" w:color="auto"/>
            </w:tcBorders>
          </w:tcPr>
          <w:p w:rsidR="00BE7A66" w:rsidRPr="00726EF8" w:rsidRDefault="00BF2D3F" w:rsidP="00726EF8">
            <w:pPr>
              <w:rPr>
                <w:rFonts w:ascii="Arial" w:hAnsi="Arial" w:cs="Arial"/>
                <w:sz w:val="18"/>
                <w:szCs w:val="18"/>
              </w:rPr>
            </w:pPr>
            <w:r w:rsidRPr="00726EF8">
              <w:rPr>
                <w:rFonts w:ascii="Arial" w:hAnsi="Arial" w:cs="Arial"/>
                <w:sz w:val="18"/>
                <w:szCs w:val="18"/>
              </w:rPr>
              <w:t>Develop a MOA</w:t>
            </w:r>
            <w:r w:rsidR="00BE7A66" w:rsidRPr="00726EF8">
              <w:rPr>
                <w:rFonts w:ascii="Arial" w:hAnsi="Arial" w:cs="Arial"/>
                <w:sz w:val="18"/>
                <w:szCs w:val="18"/>
              </w:rPr>
              <w:t xml:space="preserve"> that can be used by all partners to facilitate </w:t>
            </w:r>
            <w:r w:rsidRPr="00726EF8">
              <w:rPr>
                <w:rFonts w:ascii="Arial" w:hAnsi="Arial" w:cs="Arial"/>
                <w:sz w:val="18"/>
                <w:szCs w:val="18"/>
              </w:rPr>
              <w:t>ASL/</w:t>
            </w:r>
            <w:r w:rsidR="00BE7A66" w:rsidRPr="00726EF8">
              <w:rPr>
                <w:rFonts w:ascii="Arial" w:hAnsi="Arial" w:cs="Arial"/>
                <w:sz w:val="18"/>
                <w:szCs w:val="18"/>
              </w:rPr>
              <w:t>CE activities and clarify partner expectations (Coop Model).</w:t>
            </w:r>
          </w:p>
          <w:p w:rsidR="00BE7A66" w:rsidRPr="00726EF8" w:rsidRDefault="00BE7A66" w:rsidP="00726EF8">
            <w:pPr>
              <w:rPr>
                <w:rFonts w:ascii="Arial" w:hAnsi="Arial" w:cs="Arial"/>
                <w:sz w:val="18"/>
                <w:szCs w:val="18"/>
              </w:rPr>
            </w:pPr>
            <w:r w:rsidRPr="00726EF8">
              <w:rPr>
                <w:rFonts w:ascii="Arial" w:hAnsi="Arial" w:cs="Arial"/>
                <w:sz w:val="18"/>
                <w:szCs w:val="18"/>
              </w:rPr>
              <w:t>Clarify liability responsibility for CE activities</w:t>
            </w:r>
          </w:p>
        </w:tc>
        <w:tc>
          <w:tcPr>
            <w:tcW w:w="900" w:type="dxa"/>
            <w:tcBorders>
              <w:top w:val="single" w:sz="6" w:space="0" w:color="auto"/>
              <w:left w:val="single" w:sz="6" w:space="0" w:color="auto"/>
              <w:bottom w:val="nil"/>
              <w:right w:val="single" w:sz="6" w:space="0" w:color="auto"/>
            </w:tcBorders>
            <w:vAlign w:val="center"/>
          </w:tcPr>
          <w:p w:rsidR="00BE7A66" w:rsidRDefault="00BE7A66" w:rsidP="00525D0E">
            <w:pPr>
              <w:jc w:val="center"/>
              <w:rPr>
                <w:rFonts w:ascii="Arial" w:hAnsi="Arial" w:cs="Arial"/>
                <w:sz w:val="20"/>
                <w:szCs w:val="20"/>
              </w:rPr>
            </w:pPr>
          </w:p>
        </w:tc>
      </w:tr>
      <w:tr w:rsidR="00BE7A66" w:rsidTr="00525D0E">
        <w:trPr>
          <w:cantSplit/>
          <w:trHeight w:val="403"/>
        </w:trPr>
        <w:tc>
          <w:tcPr>
            <w:tcW w:w="1890" w:type="dxa"/>
            <w:tcBorders>
              <w:top w:val="single" w:sz="6" w:space="0" w:color="auto"/>
              <w:left w:val="single" w:sz="6" w:space="0" w:color="auto"/>
              <w:bottom w:val="single" w:sz="6" w:space="0" w:color="auto"/>
              <w:right w:val="nil"/>
            </w:tcBorders>
            <w:vAlign w:val="center"/>
          </w:tcPr>
          <w:p w:rsidR="00BE7A66" w:rsidRDefault="00BE7A66" w:rsidP="00666009">
            <w:pPr>
              <w:jc w:val="center"/>
            </w:pPr>
            <w:r>
              <w:rPr>
                <w:rFonts w:ascii="Arial" w:hAnsi="Arial" w:cs="Arial"/>
                <w:b/>
                <w:bCs/>
                <w:sz w:val="22"/>
                <w:szCs w:val="22"/>
              </w:rPr>
              <w:t>Community Partner Voice &amp; Leadership</w:t>
            </w:r>
          </w:p>
        </w:tc>
        <w:tc>
          <w:tcPr>
            <w:tcW w:w="5670" w:type="dxa"/>
            <w:tcBorders>
              <w:top w:val="single" w:sz="6" w:space="0" w:color="auto"/>
              <w:left w:val="single" w:sz="6" w:space="0" w:color="auto"/>
              <w:bottom w:val="single" w:sz="6" w:space="0" w:color="auto"/>
              <w:right w:val="nil"/>
            </w:tcBorders>
          </w:tcPr>
          <w:p w:rsidR="00BE7A66" w:rsidRDefault="00BE7A66" w:rsidP="00726EF8">
            <w:r>
              <w:rPr>
                <w:rFonts w:ascii="Arial" w:hAnsi="Arial" w:cs="Arial"/>
                <w:sz w:val="18"/>
                <w:szCs w:val="18"/>
              </w:rPr>
              <w:t>Appropriate community agency representatives are formally welcomed and encouraged to serve as advocates and ambassadors for institutionalizing CE on the campus; community agency representatives are provided substantial opportunities to express there particular agency needs or recruit student and faculty participation in CE.</w:t>
            </w:r>
          </w:p>
        </w:tc>
        <w:tc>
          <w:tcPr>
            <w:tcW w:w="4500" w:type="dxa"/>
            <w:tcBorders>
              <w:top w:val="single" w:sz="6" w:space="0" w:color="auto"/>
              <w:left w:val="single" w:sz="6" w:space="0" w:color="auto"/>
              <w:bottom w:val="single" w:sz="6" w:space="0" w:color="auto"/>
              <w:right w:val="single" w:sz="6" w:space="0" w:color="auto"/>
            </w:tcBorders>
          </w:tcPr>
          <w:p w:rsidR="00BE7A66" w:rsidRPr="00726EF8" w:rsidRDefault="00BE7A66" w:rsidP="00726EF8">
            <w:pPr>
              <w:rPr>
                <w:rFonts w:ascii="Arial" w:hAnsi="Arial" w:cs="Arial"/>
                <w:sz w:val="18"/>
                <w:szCs w:val="18"/>
              </w:rPr>
            </w:pPr>
            <w:r w:rsidRPr="00726EF8">
              <w:rPr>
                <w:rFonts w:ascii="Arial" w:hAnsi="Arial" w:cs="Arial"/>
                <w:sz w:val="18"/>
                <w:szCs w:val="18"/>
              </w:rPr>
              <w:t>Develop and implement a campus/community CE advisory committee</w:t>
            </w:r>
          </w:p>
        </w:tc>
        <w:tc>
          <w:tcPr>
            <w:tcW w:w="900" w:type="dxa"/>
            <w:tcBorders>
              <w:top w:val="single" w:sz="6" w:space="0" w:color="auto"/>
              <w:left w:val="single" w:sz="6" w:space="0" w:color="auto"/>
              <w:bottom w:val="single" w:sz="6" w:space="0" w:color="auto"/>
              <w:right w:val="single" w:sz="6" w:space="0" w:color="auto"/>
            </w:tcBorders>
            <w:vAlign w:val="center"/>
          </w:tcPr>
          <w:p w:rsidR="00BE7A66" w:rsidRDefault="00BE7A66" w:rsidP="00525D0E">
            <w:pPr>
              <w:jc w:val="center"/>
              <w:rPr>
                <w:rFonts w:ascii="Arial" w:hAnsi="Arial" w:cs="Arial"/>
                <w:sz w:val="20"/>
                <w:szCs w:val="20"/>
              </w:rPr>
            </w:pPr>
          </w:p>
        </w:tc>
      </w:tr>
    </w:tbl>
    <w:p w:rsidR="00666009" w:rsidRDefault="00666009" w:rsidP="00666009">
      <w:pPr>
        <w:sectPr w:rsidR="00666009" w:rsidSect="00BC78DB">
          <w:type w:val="continuous"/>
          <w:pgSz w:w="15840" w:h="12240" w:orient="landscape"/>
          <w:pgMar w:top="720" w:right="1440" w:bottom="720" w:left="1440" w:header="720" w:footer="720" w:gutter="0"/>
          <w:cols w:space="720"/>
        </w:sectPr>
      </w:pPr>
    </w:p>
    <w:p w:rsidR="00BC78DB" w:rsidRDefault="00BC78DB" w:rsidP="00666009">
      <w:pPr>
        <w:rPr>
          <w:rFonts w:ascii="Arial" w:hAnsi="Arial" w:cs="Arial"/>
          <w:b/>
          <w:bCs/>
          <w:sz w:val="22"/>
          <w:szCs w:val="22"/>
          <w:u w:val="single"/>
        </w:rPr>
      </w:pPr>
    </w:p>
    <w:p w:rsidR="00666009" w:rsidRDefault="00666009" w:rsidP="00666009">
      <w:pPr>
        <w:rPr>
          <w:rFonts w:ascii="Arial" w:hAnsi="Arial" w:cs="Arial"/>
          <w:b/>
          <w:bCs/>
          <w:sz w:val="22"/>
          <w:szCs w:val="22"/>
        </w:rPr>
      </w:pPr>
      <w:r w:rsidRPr="00666009">
        <w:rPr>
          <w:rFonts w:ascii="Arial" w:hAnsi="Arial" w:cs="Arial"/>
          <w:b/>
          <w:bCs/>
          <w:sz w:val="22"/>
          <w:szCs w:val="22"/>
          <w:u w:val="single"/>
        </w:rPr>
        <w:t>Dimension V</w:t>
      </w:r>
      <w:r w:rsidRPr="00666009">
        <w:rPr>
          <w:rFonts w:ascii="Arial" w:hAnsi="Arial" w:cs="Arial"/>
          <w:b/>
          <w:bCs/>
          <w:sz w:val="22"/>
          <w:szCs w:val="22"/>
        </w:rPr>
        <w:t>: Institution Support for Academic Civic Engagement</w:t>
      </w:r>
    </w:p>
    <w:p w:rsidR="00C83FB9" w:rsidRPr="00BC78DB" w:rsidRDefault="00C83FB9" w:rsidP="00666009">
      <w:pPr>
        <w:rPr>
          <w:rFonts w:ascii="Arial" w:hAnsi="Arial" w:cs="Arial"/>
          <w:b/>
          <w:bCs/>
          <w:sz w:val="22"/>
          <w:szCs w:val="22"/>
        </w:rPr>
      </w:pPr>
    </w:p>
    <w:tbl>
      <w:tblPr>
        <w:tblW w:w="12960" w:type="dxa"/>
        <w:tblInd w:w="105" w:type="dxa"/>
        <w:tblLayout w:type="fixed"/>
        <w:tblCellMar>
          <w:left w:w="105" w:type="dxa"/>
          <w:right w:w="105" w:type="dxa"/>
        </w:tblCellMar>
        <w:tblLook w:val="0000" w:firstRow="0" w:lastRow="0" w:firstColumn="0" w:lastColumn="0" w:noHBand="0" w:noVBand="0"/>
      </w:tblPr>
      <w:tblGrid>
        <w:gridCol w:w="1890"/>
        <w:gridCol w:w="5670"/>
        <w:gridCol w:w="4500"/>
        <w:gridCol w:w="900"/>
      </w:tblGrid>
      <w:tr w:rsidR="00BE7A66" w:rsidTr="00525D0E">
        <w:trPr>
          <w:cantSplit/>
          <w:trHeight w:val="403"/>
        </w:trPr>
        <w:tc>
          <w:tcPr>
            <w:tcW w:w="1890" w:type="dxa"/>
            <w:tcBorders>
              <w:top w:val="nil"/>
              <w:left w:val="nil"/>
              <w:bottom w:val="nil"/>
              <w:right w:val="nil"/>
            </w:tcBorders>
          </w:tcPr>
          <w:p w:rsidR="00BE7A66" w:rsidRDefault="00BE7A66"/>
        </w:tc>
        <w:tc>
          <w:tcPr>
            <w:tcW w:w="5670" w:type="dxa"/>
            <w:tcBorders>
              <w:top w:val="single" w:sz="6" w:space="0" w:color="auto"/>
              <w:left w:val="single" w:sz="6" w:space="0" w:color="auto"/>
              <w:bottom w:val="nil"/>
              <w:right w:val="nil"/>
            </w:tcBorders>
            <w:vAlign w:val="center"/>
          </w:tcPr>
          <w:p w:rsidR="00BE7A66" w:rsidRDefault="00BE7A66" w:rsidP="00666009">
            <w:pPr>
              <w:jc w:val="center"/>
            </w:pPr>
            <w:r>
              <w:rPr>
                <w:rFonts w:ascii="Arial" w:hAnsi="Arial" w:cs="Arial"/>
                <w:b/>
                <w:bCs/>
              </w:rPr>
              <w:t>Goal</w:t>
            </w:r>
          </w:p>
        </w:tc>
        <w:tc>
          <w:tcPr>
            <w:tcW w:w="4500" w:type="dxa"/>
            <w:tcBorders>
              <w:top w:val="single" w:sz="6" w:space="0" w:color="auto"/>
              <w:left w:val="single" w:sz="6" w:space="0" w:color="auto"/>
              <w:bottom w:val="nil"/>
              <w:right w:val="single" w:sz="6" w:space="0" w:color="auto"/>
            </w:tcBorders>
            <w:vAlign w:val="center"/>
          </w:tcPr>
          <w:p w:rsidR="00BE7A66" w:rsidRDefault="00BE7A66" w:rsidP="00666009">
            <w:pPr>
              <w:jc w:val="center"/>
            </w:pPr>
            <w:r>
              <w:rPr>
                <w:rFonts w:ascii="Arial" w:hAnsi="Arial" w:cs="Arial"/>
                <w:b/>
                <w:bCs/>
                <w:sz w:val="22"/>
                <w:szCs w:val="22"/>
              </w:rPr>
              <w:t>Action Plans</w:t>
            </w:r>
          </w:p>
        </w:tc>
        <w:tc>
          <w:tcPr>
            <w:tcW w:w="900" w:type="dxa"/>
            <w:tcBorders>
              <w:top w:val="single" w:sz="6" w:space="0" w:color="auto"/>
              <w:left w:val="single" w:sz="6" w:space="0" w:color="auto"/>
              <w:bottom w:val="nil"/>
              <w:right w:val="single" w:sz="6" w:space="0" w:color="auto"/>
            </w:tcBorders>
            <w:vAlign w:val="center"/>
          </w:tcPr>
          <w:p w:rsidR="00BE7A66" w:rsidRDefault="00525D0E" w:rsidP="00525D0E">
            <w:pPr>
              <w:jc w:val="center"/>
              <w:rPr>
                <w:rFonts w:ascii="Arial" w:hAnsi="Arial" w:cs="Arial"/>
                <w:b/>
                <w:bCs/>
                <w:sz w:val="22"/>
                <w:szCs w:val="22"/>
              </w:rPr>
            </w:pPr>
            <w:r w:rsidRPr="007E1B04">
              <w:rPr>
                <w:rFonts w:ascii="Arial" w:hAnsi="Arial" w:cs="Arial"/>
                <w:b/>
                <w:sz w:val="22"/>
                <w:szCs w:val="22"/>
              </w:rPr>
              <w:t>Who</w:t>
            </w:r>
          </w:p>
        </w:tc>
      </w:tr>
      <w:tr w:rsidR="00BE7A66" w:rsidTr="003E0232">
        <w:trPr>
          <w:cantSplit/>
          <w:trHeight w:val="403"/>
        </w:trPr>
        <w:tc>
          <w:tcPr>
            <w:tcW w:w="1890" w:type="dxa"/>
            <w:tcBorders>
              <w:top w:val="single" w:sz="6" w:space="0" w:color="auto"/>
              <w:left w:val="single" w:sz="6" w:space="0" w:color="auto"/>
              <w:bottom w:val="nil"/>
              <w:right w:val="nil"/>
            </w:tcBorders>
            <w:vAlign w:val="center"/>
          </w:tcPr>
          <w:p w:rsidR="00BE7A66" w:rsidRDefault="00BE7A66" w:rsidP="00666009">
            <w:pPr>
              <w:jc w:val="center"/>
            </w:pPr>
            <w:r>
              <w:rPr>
                <w:rFonts w:ascii="Arial" w:hAnsi="Arial" w:cs="Arial"/>
                <w:b/>
                <w:bCs/>
                <w:sz w:val="22"/>
                <w:szCs w:val="22"/>
              </w:rPr>
              <w:t>Coordinating Entity</w:t>
            </w:r>
          </w:p>
        </w:tc>
        <w:tc>
          <w:tcPr>
            <w:tcW w:w="5670" w:type="dxa"/>
            <w:tcBorders>
              <w:top w:val="single" w:sz="6" w:space="0" w:color="auto"/>
              <w:left w:val="single" w:sz="6" w:space="0" w:color="auto"/>
              <w:bottom w:val="nil"/>
              <w:right w:val="nil"/>
            </w:tcBorders>
          </w:tcPr>
          <w:p w:rsidR="00BE7A66" w:rsidRPr="00C83FB9" w:rsidRDefault="00BE7A66" w:rsidP="00726EF8">
            <w:pPr>
              <w:rPr>
                <w:sz w:val="18"/>
                <w:szCs w:val="18"/>
              </w:rPr>
            </w:pPr>
            <w:r w:rsidRPr="00C83FB9">
              <w:rPr>
                <w:rFonts w:ascii="Arial" w:hAnsi="Arial" w:cs="Arial"/>
                <w:sz w:val="18"/>
                <w:szCs w:val="18"/>
              </w:rPr>
              <w:t>The institution maintains coordinating entity (e.g., committee, center, or clearing house) that is devoted primarily to assisting the various campus constituencies in the implementation, advance-ment, and Institutionalization of CE.</w:t>
            </w:r>
          </w:p>
        </w:tc>
        <w:tc>
          <w:tcPr>
            <w:tcW w:w="4500" w:type="dxa"/>
            <w:tcBorders>
              <w:top w:val="single" w:sz="6" w:space="0" w:color="auto"/>
              <w:left w:val="single" w:sz="6" w:space="0" w:color="auto"/>
              <w:bottom w:val="nil"/>
              <w:right w:val="single" w:sz="6" w:space="0" w:color="auto"/>
            </w:tcBorders>
            <w:vAlign w:val="center"/>
          </w:tcPr>
          <w:p w:rsidR="00BE7A66" w:rsidRPr="001A1007" w:rsidRDefault="00BE7A66" w:rsidP="00726EF8">
            <w:pPr>
              <w:rPr>
                <w:rFonts w:ascii="Arial" w:hAnsi="Arial" w:cs="Arial"/>
                <w:sz w:val="18"/>
                <w:szCs w:val="18"/>
              </w:rPr>
            </w:pPr>
            <w:r w:rsidRPr="001A1007">
              <w:rPr>
                <w:rFonts w:ascii="Arial" w:hAnsi="Arial" w:cs="Arial"/>
                <w:sz w:val="18"/>
                <w:szCs w:val="18"/>
              </w:rPr>
              <w:t xml:space="preserve">Coordinate academic and non academic activities with the Director of Academic CE programs and the </w:t>
            </w:r>
            <w:r>
              <w:rPr>
                <w:rFonts w:ascii="Arial" w:hAnsi="Arial" w:cs="Arial"/>
                <w:sz w:val="18"/>
                <w:szCs w:val="18"/>
              </w:rPr>
              <w:t>Director of the Don an</w:t>
            </w:r>
            <w:r w:rsidRPr="001A1007">
              <w:rPr>
                <w:rFonts w:ascii="Arial" w:hAnsi="Arial" w:cs="Arial"/>
                <w:sz w:val="18"/>
                <w:szCs w:val="18"/>
              </w:rPr>
              <w:t xml:space="preserve">d Verna Duncan </w:t>
            </w:r>
            <w:r>
              <w:rPr>
                <w:rFonts w:ascii="Arial" w:hAnsi="Arial" w:cs="Arial"/>
                <w:sz w:val="18"/>
                <w:szCs w:val="18"/>
              </w:rPr>
              <w:t>CE</w:t>
            </w:r>
            <w:r w:rsidRPr="001A1007">
              <w:rPr>
                <w:rFonts w:ascii="Arial" w:hAnsi="Arial" w:cs="Arial"/>
                <w:sz w:val="18"/>
                <w:szCs w:val="18"/>
              </w:rPr>
              <w:t xml:space="preserve"> Center</w:t>
            </w:r>
          </w:p>
        </w:tc>
        <w:tc>
          <w:tcPr>
            <w:tcW w:w="900" w:type="dxa"/>
            <w:tcBorders>
              <w:top w:val="single" w:sz="6" w:space="0" w:color="auto"/>
              <w:left w:val="single" w:sz="6" w:space="0" w:color="auto"/>
              <w:bottom w:val="nil"/>
              <w:right w:val="single" w:sz="6" w:space="0" w:color="auto"/>
            </w:tcBorders>
            <w:vAlign w:val="center"/>
          </w:tcPr>
          <w:p w:rsidR="00C9671B" w:rsidRPr="00C9671B" w:rsidRDefault="00C9671B" w:rsidP="00525D0E">
            <w:pPr>
              <w:jc w:val="center"/>
              <w:rPr>
                <w:rFonts w:ascii="Arial" w:hAnsi="Arial" w:cs="Arial"/>
                <w:sz w:val="16"/>
                <w:szCs w:val="16"/>
              </w:rPr>
            </w:pPr>
          </w:p>
        </w:tc>
      </w:tr>
      <w:tr w:rsidR="00BE7A66" w:rsidTr="00525D0E">
        <w:trPr>
          <w:cantSplit/>
          <w:trHeight w:val="403"/>
        </w:trPr>
        <w:tc>
          <w:tcPr>
            <w:tcW w:w="1890" w:type="dxa"/>
            <w:tcBorders>
              <w:top w:val="single" w:sz="6" w:space="0" w:color="auto"/>
              <w:left w:val="single" w:sz="6" w:space="0" w:color="auto"/>
              <w:bottom w:val="nil"/>
              <w:right w:val="nil"/>
            </w:tcBorders>
            <w:vAlign w:val="center"/>
          </w:tcPr>
          <w:p w:rsidR="00BE7A66" w:rsidRDefault="00BE7A66" w:rsidP="00666009">
            <w:pPr>
              <w:jc w:val="center"/>
            </w:pPr>
            <w:r>
              <w:rPr>
                <w:rFonts w:ascii="Arial" w:hAnsi="Arial" w:cs="Arial"/>
                <w:b/>
                <w:bCs/>
              </w:rPr>
              <w:t>Policy-Making Entity</w:t>
            </w:r>
          </w:p>
        </w:tc>
        <w:tc>
          <w:tcPr>
            <w:tcW w:w="5670" w:type="dxa"/>
            <w:tcBorders>
              <w:top w:val="single" w:sz="6" w:space="0" w:color="auto"/>
              <w:left w:val="single" w:sz="6" w:space="0" w:color="auto"/>
              <w:bottom w:val="nil"/>
              <w:right w:val="nil"/>
            </w:tcBorders>
          </w:tcPr>
          <w:p w:rsidR="00BE7A66" w:rsidRDefault="00BE7A66" w:rsidP="00726EF8">
            <w:r>
              <w:rPr>
                <w:rFonts w:ascii="Arial" w:hAnsi="Arial" w:cs="Arial"/>
                <w:sz w:val="18"/>
                <w:szCs w:val="18"/>
              </w:rPr>
              <w:t>The institution’s policy-making board(s)/ committee(s) recognize CE as an essential education goal for the campus and formal policies have been developed or implemented.</w:t>
            </w:r>
          </w:p>
        </w:tc>
        <w:tc>
          <w:tcPr>
            <w:tcW w:w="4500" w:type="dxa"/>
            <w:tcBorders>
              <w:top w:val="single" w:sz="6" w:space="0" w:color="auto"/>
              <w:left w:val="single" w:sz="6" w:space="0" w:color="auto"/>
              <w:bottom w:val="nil"/>
              <w:right w:val="single" w:sz="6" w:space="0" w:color="auto"/>
            </w:tcBorders>
          </w:tcPr>
          <w:p w:rsidR="00BE7A66" w:rsidRPr="001A1007" w:rsidRDefault="00BE7A66" w:rsidP="00726EF8">
            <w:pPr>
              <w:rPr>
                <w:rFonts w:ascii="Arial" w:hAnsi="Arial" w:cs="Arial"/>
                <w:sz w:val="18"/>
                <w:szCs w:val="18"/>
              </w:rPr>
            </w:pPr>
            <w:r>
              <w:rPr>
                <w:rFonts w:ascii="Arial" w:hAnsi="Arial" w:cs="Arial"/>
                <w:sz w:val="18"/>
                <w:szCs w:val="18"/>
              </w:rPr>
              <w:t>Submit annual productivity report to President, Provost and to maintain administrative support for CE</w:t>
            </w:r>
          </w:p>
        </w:tc>
        <w:tc>
          <w:tcPr>
            <w:tcW w:w="900" w:type="dxa"/>
            <w:tcBorders>
              <w:top w:val="single" w:sz="6" w:space="0" w:color="auto"/>
              <w:left w:val="single" w:sz="6" w:space="0" w:color="auto"/>
              <w:bottom w:val="nil"/>
              <w:right w:val="single" w:sz="6" w:space="0" w:color="auto"/>
            </w:tcBorders>
            <w:vAlign w:val="center"/>
          </w:tcPr>
          <w:p w:rsidR="00BF2D3F" w:rsidRDefault="00BF2D3F" w:rsidP="00E44508">
            <w:pPr>
              <w:jc w:val="center"/>
              <w:rPr>
                <w:rFonts w:ascii="Arial" w:hAnsi="Arial" w:cs="Arial"/>
                <w:sz w:val="18"/>
                <w:szCs w:val="18"/>
              </w:rPr>
            </w:pPr>
          </w:p>
        </w:tc>
      </w:tr>
      <w:tr w:rsidR="00BE7A66" w:rsidTr="00525D0E">
        <w:trPr>
          <w:cantSplit/>
          <w:trHeight w:val="403"/>
        </w:trPr>
        <w:tc>
          <w:tcPr>
            <w:tcW w:w="1890" w:type="dxa"/>
            <w:tcBorders>
              <w:top w:val="single" w:sz="6" w:space="0" w:color="auto"/>
              <w:left w:val="single" w:sz="6" w:space="0" w:color="auto"/>
              <w:bottom w:val="nil"/>
              <w:right w:val="nil"/>
            </w:tcBorders>
            <w:vAlign w:val="center"/>
          </w:tcPr>
          <w:p w:rsidR="00BE7A66" w:rsidRDefault="00BE7A66" w:rsidP="00666009">
            <w:pPr>
              <w:jc w:val="center"/>
            </w:pPr>
            <w:r>
              <w:rPr>
                <w:rFonts w:ascii="Arial" w:hAnsi="Arial" w:cs="Arial"/>
                <w:b/>
                <w:bCs/>
              </w:rPr>
              <w:t>Staffing</w:t>
            </w:r>
          </w:p>
        </w:tc>
        <w:tc>
          <w:tcPr>
            <w:tcW w:w="5670" w:type="dxa"/>
            <w:tcBorders>
              <w:top w:val="single" w:sz="6" w:space="0" w:color="auto"/>
              <w:left w:val="single" w:sz="6" w:space="0" w:color="auto"/>
              <w:bottom w:val="nil"/>
              <w:right w:val="nil"/>
            </w:tcBorders>
          </w:tcPr>
          <w:p w:rsidR="00BE7A66" w:rsidRDefault="00BE7A66" w:rsidP="00726EF8">
            <w:r>
              <w:rPr>
                <w:rFonts w:ascii="Arial" w:hAnsi="Arial" w:cs="Arial"/>
                <w:sz w:val="18"/>
                <w:szCs w:val="18"/>
              </w:rPr>
              <w:t>The campus houses and funds an appropriate number of permanent staff members who understand CE and who hold appropriate titles that can influence the advancement and Institutionalization of CE on campus.</w:t>
            </w:r>
          </w:p>
        </w:tc>
        <w:tc>
          <w:tcPr>
            <w:tcW w:w="4500" w:type="dxa"/>
            <w:tcBorders>
              <w:top w:val="single" w:sz="6" w:space="0" w:color="auto"/>
              <w:left w:val="single" w:sz="6" w:space="0" w:color="auto"/>
              <w:bottom w:val="nil"/>
              <w:right w:val="single" w:sz="6" w:space="0" w:color="auto"/>
            </w:tcBorders>
          </w:tcPr>
          <w:p w:rsidR="00BE7A66" w:rsidRPr="001A1007" w:rsidRDefault="00BE7A66" w:rsidP="00726EF8">
            <w:pPr>
              <w:rPr>
                <w:rFonts w:ascii="Arial" w:hAnsi="Arial" w:cs="Arial"/>
                <w:sz w:val="18"/>
                <w:szCs w:val="18"/>
              </w:rPr>
            </w:pPr>
            <w:r w:rsidRPr="001A1007">
              <w:rPr>
                <w:rFonts w:ascii="Arial" w:hAnsi="Arial" w:cs="Arial"/>
                <w:sz w:val="18"/>
                <w:szCs w:val="18"/>
              </w:rPr>
              <w:t xml:space="preserve">The </w:t>
            </w:r>
            <w:r w:rsidR="00E44508">
              <w:rPr>
                <w:rFonts w:ascii="Arial" w:hAnsi="Arial" w:cs="Arial"/>
                <w:sz w:val="18"/>
                <w:szCs w:val="18"/>
              </w:rPr>
              <w:t>Provost’s office</w:t>
            </w:r>
            <w:r w:rsidRPr="001A1007">
              <w:rPr>
                <w:rFonts w:ascii="Arial" w:hAnsi="Arial" w:cs="Arial"/>
                <w:sz w:val="18"/>
                <w:szCs w:val="18"/>
              </w:rPr>
              <w:t xml:space="preserve"> funds a permanent staff member to develop and manage student volunteer activities.</w:t>
            </w:r>
          </w:p>
          <w:p w:rsidR="00BE7A66" w:rsidRPr="001A1007" w:rsidRDefault="00BE7A66" w:rsidP="00726EF8">
            <w:pPr>
              <w:rPr>
                <w:rFonts w:ascii="Arial" w:hAnsi="Arial" w:cs="Arial"/>
                <w:sz w:val="18"/>
                <w:szCs w:val="18"/>
              </w:rPr>
            </w:pPr>
            <w:r w:rsidRPr="001A1007">
              <w:rPr>
                <w:rFonts w:ascii="Arial" w:hAnsi="Arial" w:cs="Arial"/>
                <w:sz w:val="18"/>
                <w:szCs w:val="18"/>
              </w:rPr>
              <w:t>The Provost provides load time for 2 faculty members to serve in leadership roles for academic CE and the American Democracy Project.</w:t>
            </w:r>
          </w:p>
        </w:tc>
        <w:tc>
          <w:tcPr>
            <w:tcW w:w="900" w:type="dxa"/>
            <w:tcBorders>
              <w:top w:val="single" w:sz="6" w:space="0" w:color="auto"/>
              <w:left w:val="single" w:sz="6" w:space="0" w:color="auto"/>
              <w:bottom w:val="nil"/>
              <w:right w:val="single" w:sz="6" w:space="0" w:color="auto"/>
            </w:tcBorders>
            <w:vAlign w:val="center"/>
          </w:tcPr>
          <w:p w:rsidR="00BF2D3F" w:rsidRPr="001A1007" w:rsidRDefault="00BF2D3F" w:rsidP="00525D0E">
            <w:pPr>
              <w:jc w:val="center"/>
              <w:rPr>
                <w:rFonts w:ascii="Arial" w:hAnsi="Arial" w:cs="Arial"/>
                <w:sz w:val="18"/>
                <w:szCs w:val="18"/>
              </w:rPr>
            </w:pPr>
          </w:p>
        </w:tc>
      </w:tr>
      <w:tr w:rsidR="00BE7A66" w:rsidTr="00525D0E">
        <w:trPr>
          <w:cantSplit/>
          <w:trHeight w:val="403"/>
        </w:trPr>
        <w:tc>
          <w:tcPr>
            <w:tcW w:w="1890" w:type="dxa"/>
            <w:tcBorders>
              <w:top w:val="single" w:sz="6" w:space="0" w:color="auto"/>
              <w:left w:val="single" w:sz="6" w:space="0" w:color="auto"/>
              <w:bottom w:val="nil"/>
              <w:right w:val="nil"/>
            </w:tcBorders>
            <w:vAlign w:val="center"/>
          </w:tcPr>
          <w:p w:rsidR="00BE7A66" w:rsidRDefault="00BE7A66" w:rsidP="00666009">
            <w:pPr>
              <w:jc w:val="center"/>
            </w:pPr>
            <w:r>
              <w:rPr>
                <w:rFonts w:ascii="Arial" w:hAnsi="Arial" w:cs="Arial"/>
                <w:b/>
                <w:bCs/>
              </w:rPr>
              <w:t>Funding</w:t>
            </w:r>
          </w:p>
        </w:tc>
        <w:tc>
          <w:tcPr>
            <w:tcW w:w="5670" w:type="dxa"/>
            <w:tcBorders>
              <w:top w:val="single" w:sz="6" w:space="0" w:color="auto"/>
              <w:left w:val="single" w:sz="6" w:space="0" w:color="auto"/>
              <w:bottom w:val="nil"/>
              <w:right w:val="nil"/>
            </w:tcBorders>
          </w:tcPr>
          <w:p w:rsidR="00BE7A66" w:rsidRDefault="00BE7A66" w:rsidP="00726EF8">
            <w:r>
              <w:rPr>
                <w:rFonts w:ascii="Arial" w:hAnsi="Arial" w:cs="Arial"/>
                <w:sz w:val="18"/>
                <w:szCs w:val="18"/>
              </w:rPr>
              <w:t>The campus’ academic CE activities are supported primarily by hard funding from the campus.</w:t>
            </w:r>
          </w:p>
        </w:tc>
        <w:tc>
          <w:tcPr>
            <w:tcW w:w="4500" w:type="dxa"/>
            <w:tcBorders>
              <w:top w:val="single" w:sz="6" w:space="0" w:color="auto"/>
              <w:left w:val="single" w:sz="6" w:space="0" w:color="auto"/>
              <w:bottom w:val="nil"/>
              <w:right w:val="single" w:sz="6" w:space="0" w:color="auto"/>
            </w:tcBorders>
          </w:tcPr>
          <w:p w:rsidR="00BE7A66" w:rsidRPr="001A1007" w:rsidRDefault="00E44508" w:rsidP="00726EF8">
            <w:pPr>
              <w:rPr>
                <w:rFonts w:ascii="Arial" w:hAnsi="Arial" w:cs="Arial"/>
                <w:sz w:val="18"/>
                <w:szCs w:val="18"/>
              </w:rPr>
            </w:pPr>
            <w:r>
              <w:rPr>
                <w:rFonts w:ascii="Arial" w:hAnsi="Arial" w:cs="Arial"/>
                <w:sz w:val="18"/>
                <w:szCs w:val="18"/>
              </w:rPr>
              <w:t>Base</w:t>
            </w:r>
            <w:r w:rsidR="00BE7A66" w:rsidRPr="001A1007">
              <w:rPr>
                <w:rFonts w:ascii="Arial" w:hAnsi="Arial" w:cs="Arial"/>
                <w:sz w:val="18"/>
                <w:szCs w:val="18"/>
              </w:rPr>
              <w:t xml:space="preserve"> funds facilitate the CE action plans</w:t>
            </w:r>
          </w:p>
        </w:tc>
        <w:tc>
          <w:tcPr>
            <w:tcW w:w="900" w:type="dxa"/>
            <w:tcBorders>
              <w:top w:val="single" w:sz="6" w:space="0" w:color="auto"/>
              <w:left w:val="single" w:sz="6" w:space="0" w:color="auto"/>
              <w:bottom w:val="nil"/>
              <w:right w:val="single" w:sz="6" w:space="0" w:color="auto"/>
            </w:tcBorders>
            <w:vAlign w:val="center"/>
          </w:tcPr>
          <w:p w:rsidR="00BE7A66" w:rsidRPr="00BF2D3F" w:rsidRDefault="00BE7A66" w:rsidP="00525D0E">
            <w:pPr>
              <w:jc w:val="center"/>
              <w:rPr>
                <w:rFonts w:ascii="Arial" w:hAnsi="Arial" w:cs="Arial"/>
                <w:sz w:val="16"/>
                <w:szCs w:val="16"/>
              </w:rPr>
            </w:pPr>
          </w:p>
        </w:tc>
      </w:tr>
      <w:tr w:rsidR="00BE7A66" w:rsidTr="00525D0E">
        <w:trPr>
          <w:cantSplit/>
          <w:trHeight w:val="403"/>
        </w:trPr>
        <w:tc>
          <w:tcPr>
            <w:tcW w:w="1890" w:type="dxa"/>
            <w:tcBorders>
              <w:top w:val="single" w:sz="6" w:space="0" w:color="auto"/>
              <w:left w:val="single" w:sz="6" w:space="0" w:color="auto"/>
              <w:bottom w:val="single" w:sz="6" w:space="0" w:color="auto"/>
              <w:right w:val="nil"/>
            </w:tcBorders>
            <w:vAlign w:val="center"/>
          </w:tcPr>
          <w:p w:rsidR="00BE7A66" w:rsidRDefault="00BE7A66" w:rsidP="009A4990">
            <w:pPr>
              <w:jc w:val="center"/>
            </w:pPr>
            <w:r>
              <w:rPr>
                <w:rFonts w:ascii="Arial" w:hAnsi="Arial" w:cs="Arial"/>
                <w:b/>
                <w:bCs/>
              </w:rPr>
              <w:t>Administrative Support</w:t>
            </w:r>
          </w:p>
        </w:tc>
        <w:tc>
          <w:tcPr>
            <w:tcW w:w="5670" w:type="dxa"/>
            <w:tcBorders>
              <w:top w:val="single" w:sz="6" w:space="0" w:color="auto"/>
              <w:left w:val="single" w:sz="6" w:space="0" w:color="auto"/>
              <w:bottom w:val="single" w:sz="6" w:space="0" w:color="auto"/>
              <w:right w:val="nil"/>
            </w:tcBorders>
          </w:tcPr>
          <w:p w:rsidR="00BE7A66" w:rsidRDefault="00BE7A66" w:rsidP="00726EF8">
            <w:r>
              <w:rPr>
                <w:rFonts w:ascii="Arial" w:hAnsi="Arial" w:cs="Arial"/>
                <w:sz w:val="18"/>
                <w:szCs w:val="18"/>
              </w:rPr>
              <w:t>The campus’ administrative leaders understand and support CE, and actively cooperate to make CE a visible and important part of the campus work.</w:t>
            </w:r>
          </w:p>
        </w:tc>
        <w:tc>
          <w:tcPr>
            <w:tcW w:w="4500" w:type="dxa"/>
            <w:tcBorders>
              <w:top w:val="single" w:sz="6" w:space="0" w:color="auto"/>
              <w:left w:val="single" w:sz="6" w:space="0" w:color="auto"/>
              <w:bottom w:val="single" w:sz="6" w:space="0" w:color="auto"/>
              <w:right w:val="single" w:sz="6" w:space="0" w:color="auto"/>
            </w:tcBorders>
          </w:tcPr>
          <w:p w:rsidR="00BE7A66" w:rsidRPr="001A1007" w:rsidRDefault="00BE7A66" w:rsidP="00726EF8">
            <w:pPr>
              <w:rPr>
                <w:rFonts w:ascii="Arial" w:hAnsi="Arial" w:cs="Arial"/>
                <w:sz w:val="18"/>
                <w:szCs w:val="18"/>
              </w:rPr>
            </w:pPr>
            <w:r w:rsidRPr="001A1007">
              <w:rPr>
                <w:rFonts w:ascii="Arial" w:hAnsi="Arial" w:cs="Arial"/>
                <w:sz w:val="18"/>
                <w:szCs w:val="18"/>
              </w:rPr>
              <w:t>Every college Dean annually nominates faculty fellows for the program.</w:t>
            </w:r>
          </w:p>
          <w:p w:rsidR="00BE7A66" w:rsidRPr="001A1007" w:rsidRDefault="00BE7A66" w:rsidP="00726EF8">
            <w:pPr>
              <w:rPr>
                <w:rFonts w:ascii="Arial" w:hAnsi="Arial" w:cs="Arial"/>
                <w:sz w:val="18"/>
                <w:szCs w:val="18"/>
              </w:rPr>
            </w:pPr>
            <w:r w:rsidRPr="001A1007">
              <w:rPr>
                <w:rFonts w:ascii="Arial" w:hAnsi="Arial" w:cs="Arial"/>
                <w:sz w:val="18"/>
                <w:szCs w:val="18"/>
              </w:rPr>
              <w:t xml:space="preserve">The President </w:t>
            </w:r>
            <w:r w:rsidR="00BF2D3F">
              <w:rPr>
                <w:rFonts w:ascii="Arial" w:hAnsi="Arial" w:cs="Arial"/>
                <w:sz w:val="18"/>
                <w:szCs w:val="18"/>
              </w:rPr>
              <w:t xml:space="preserve">&amp; FS </w:t>
            </w:r>
            <w:r w:rsidRPr="001A1007">
              <w:rPr>
                <w:rFonts w:ascii="Arial" w:hAnsi="Arial" w:cs="Arial"/>
                <w:sz w:val="18"/>
                <w:szCs w:val="18"/>
              </w:rPr>
              <w:t>annually recognizes a Distinguished Professor of Service as part of commencement activities</w:t>
            </w:r>
            <w:r w:rsidR="00BF2D3F">
              <w:rPr>
                <w:rFonts w:ascii="Arial" w:hAnsi="Arial" w:cs="Arial"/>
                <w:sz w:val="18"/>
                <w:szCs w:val="18"/>
              </w:rPr>
              <w:t xml:space="preserve"> (recommend criteria)</w:t>
            </w:r>
            <w:r w:rsidRPr="001A1007">
              <w:rPr>
                <w:rFonts w:ascii="Arial" w:hAnsi="Arial" w:cs="Arial"/>
                <w:sz w:val="18"/>
                <w:szCs w:val="18"/>
              </w:rPr>
              <w:t>.</w:t>
            </w:r>
          </w:p>
        </w:tc>
        <w:tc>
          <w:tcPr>
            <w:tcW w:w="900" w:type="dxa"/>
            <w:tcBorders>
              <w:top w:val="single" w:sz="6" w:space="0" w:color="auto"/>
              <w:left w:val="single" w:sz="6" w:space="0" w:color="auto"/>
              <w:bottom w:val="single" w:sz="6" w:space="0" w:color="auto"/>
              <w:right w:val="single" w:sz="6" w:space="0" w:color="auto"/>
            </w:tcBorders>
            <w:vAlign w:val="center"/>
          </w:tcPr>
          <w:p w:rsidR="00BF2D3F" w:rsidRPr="001A1007" w:rsidRDefault="00BF2D3F" w:rsidP="00525D0E">
            <w:pPr>
              <w:jc w:val="center"/>
              <w:rPr>
                <w:rFonts w:ascii="Arial" w:hAnsi="Arial" w:cs="Arial"/>
                <w:sz w:val="18"/>
                <w:szCs w:val="18"/>
              </w:rPr>
            </w:pPr>
          </w:p>
        </w:tc>
      </w:tr>
      <w:tr w:rsidR="00BE7A66" w:rsidTr="00525D0E">
        <w:trPr>
          <w:cantSplit/>
          <w:trHeight w:val="403"/>
        </w:trPr>
        <w:tc>
          <w:tcPr>
            <w:tcW w:w="1890" w:type="dxa"/>
            <w:tcBorders>
              <w:top w:val="single" w:sz="6" w:space="0" w:color="auto"/>
              <w:left w:val="single" w:sz="6" w:space="0" w:color="auto"/>
              <w:bottom w:val="single" w:sz="6" w:space="0" w:color="auto"/>
              <w:right w:val="nil"/>
            </w:tcBorders>
            <w:vAlign w:val="center"/>
          </w:tcPr>
          <w:p w:rsidR="00BE7A66" w:rsidRDefault="00BE7A66" w:rsidP="00726D85">
            <w:pPr>
              <w:jc w:val="center"/>
            </w:pPr>
            <w:r>
              <w:rPr>
                <w:rFonts w:ascii="Arial" w:hAnsi="Arial" w:cs="Arial"/>
                <w:b/>
                <w:bCs/>
              </w:rPr>
              <w:t>Evaluation &amp; Assessment</w:t>
            </w:r>
          </w:p>
        </w:tc>
        <w:tc>
          <w:tcPr>
            <w:tcW w:w="5670" w:type="dxa"/>
            <w:tcBorders>
              <w:top w:val="single" w:sz="6" w:space="0" w:color="auto"/>
              <w:left w:val="single" w:sz="6" w:space="0" w:color="auto"/>
              <w:bottom w:val="single" w:sz="6" w:space="0" w:color="auto"/>
              <w:right w:val="nil"/>
            </w:tcBorders>
          </w:tcPr>
          <w:p w:rsidR="00BE7A66" w:rsidRDefault="00BE7A66" w:rsidP="00726EF8">
            <w:r>
              <w:rPr>
                <w:rFonts w:ascii="Arial" w:hAnsi="Arial" w:cs="Arial"/>
                <w:sz w:val="18"/>
                <w:szCs w:val="18"/>
              </w:rPr>
              <w:t>An ongoing, systematic effort is in place to account for the number and quality of CE activities that are taking place throughout the campus.</w:t>
            </w:r>
          </w:p>
        </w:tc>
        <w:tc>
          <w:tcPr>
            <w:tcW w:w="4500" w:type="dxa"/>
            <w:tcBorders>
              <w:top w:val="single" w:sz="6" w:space="0" w:color="auto"/>
              <w:left w:val="single" w:sz="6" w:space="0" w:color="auto"/>
              <w:bottom w:val="single" w:sz="6" w:space="0" w:color="auto"/>
              <w:right w:val="single" w:sz="6" w:space="0" w:color="auto"/>
            </w:tcBorders>
          </w:tcPr>
          <w:p w:rsidR="00BE7A66" w:rsidRPr="001A1007" w:rsidRDefault="00BE7A66" w:rsidP="00726EF8">
            <w:pPr>
              <w:rPr>
                <w:rFonts w:ascii="Arial" w:hAnsi="Arial" w:cs="Arial"/>
                <w:sz w:val="18"/>
                <w:szCs w:val="18"/>
              </w:rPr>
            </w:pPr>
            <w:r w:rsidRPr="001A1007">
              <w:rPr>
                <w:rFonts w:ascii="Arial" w:hAnsi="Arial" w:cs="Arial"/>
                <w:sz w:val="18"/>
                <w:szCs w:val="18"/>
              </w:rPr>
              <w:t xml:space="preserve">Develop and use a shared web site for recording and assessing all academic and volunteer </w:t>
            </w:r>
            <w:r>
              <w:rPr>
                <w:rFonts w:ascii="Arial" w:hAnsi="Arial" w:cs="Arial"/>
                <w:sz w:val="18"/>
                <w:szCs w:val="18"/>
              </w:rPr>
              <w:t>CE</w:t>
            </w:r>
            <w:r w:rsidRPr="001A1007">
              <w:rPr>
                <w:rFonts w:ascii="Arial" w:hAnsi="Arial" w:cs="Arial"/>
                <w:sz w:val="18"/>
                <w:szCs w:val="18"/>
              </w:rPr>
              <w:t xml:space="preserve"> activities</w:t>
            </w:r>
          </w:p>
        </w:tc>
        <w:tc>
          <w:tcPr>
            <w:tcW w:w="900" w:type="dxa"/>
            <w:tcBorders>
              <w:top w:val="single" w:sz="6" w:space="0" w:color="auto"/>
              <w:left w:val="single" w:sz="6" w:space="0" w:color="auto"/>
              <w:bottom w:val="single" w:sz="6" w:space="0" w:color="auto"/>
              <w:right w:val="single" w:sz="6" w:space="0" w:color="auto"/>
            </w:tcBorders>
            <w:vAlign w:val="center"/>
          </w:tcPr>
          <w:p w:rsidR="00BF2D3F" w:rsidRPr="001A1007" w:rsidRDefault="00BF2D3F" w:rsidP="00525D0E">
            <w:pPr>
              <w:jc w:val="center"/>
              <w:rPr>
                <w:rFonts w:ascii="Arial" w:hAnsi="Arial" w:cs="Arial"/>
                <w:sz w:val="18"/>
                <w:szCs w:val="18"/>
              </w:rPr>
            </w:pPr>
          </w:p>
        </w:tc>
      </w:tr>
    </w:tbl>
    <w:p w:rsidR="00FD2889" w:rsidRPr="00FD2889" w:rsidRDefault="00FD2889" w:rsidP="00C967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rsidR="00FD2889" w:rsidRPr="00FD2889" w:rsidSect="00BC78DB">
      <w:type w:val="continuous"/>
      <w:pgSz w:w="15840" w:h="12240" w:orient="landscape"/>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63"/>
    <w:rsid w:val="00012D9E"/>
    <w:rsid w:val="000573DA"/>
    <w:rsid w:val="000A6659"/>
    <w:rsid w:val="001A1007"/>
    <w:rsid w:val="00393806"/>
    <w:rsid w:val="003A0A63"/>
    <w:rsid w:val="003B2AE7"/>
    <w:rsid w:val="003E0232"/>
    <w:rsid w:val="00407E54"/>
    <w:rsid w:val="00497FA7"/>
    <w:rsid w:val="00512AC8"/>
    <w:rsid w:val="00525D0E"/>
    <w:rsid w:val="005B4AA1"/>
    <w:rsid w:val="00666009"/>
    <w:rsid w:val="00707416"/>
    <w:rsid w:val="00726D85"/>
    <w:rsid w:val="00726EF8"/>
    <w:rsid w:val="007322A9"/>
    <w:rsid w:val="0074323D"/>
    <w:rsid w:val="00760C72"/>
    <w:rsid w:val="007E1B04"/>
    <w:rsid w:val="00900180"/>
    <w:rsid w:val="009A4990"/>
    <w:rsid w:val="009E2C2D"/>
    <w:rsid w:val="009F0456"/>
    <w:rsid w:val="00B120EF"/>
    <w:rsid w:val="00BC78DB"/>
    <w:rsid w:val="00BE0EFF"/>
    <w:rsid w:val="00BE7A66"/>
    <w:rsid w:val="00BF2D3F"/>
    <w:rsid w:val="00C14925"/>
    <w:rsid w:val="00C83FB9"/>
    <w:rsid w:val="00C9671B"/>
    <w:rsid w:val="00CB4770"/>
    <w:rsid w:val="00D54589"/>
    <w:rsid w:val="00DA1421"/>
    <w:rsid w:val="00E246F5"/>
    <w:rsid w:val="00E44508"/>
    <w:rsid w:val="00F102BB"/>
    <w:rsid w:val="00FD2889"/>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FFF0BA-54E8-485A-9E57-F46E3E59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2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Since 2000, the CWU academic service learning program has used the Furco Self Assessment Rubric for the Institutionalization of Service-Learning in Higher Education to facilitate annual self assessment activities and development priorities</vt:lpstr>
    </vt:vector>
  </TitlesOfParts>
  <Company>CWU</Company>
  <LinksUpToDate>false</LinksUpToDate>
  <CharactersWithSpaces>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 2000, the CWU academic service learning program has used the Furco Self Assessment Rubric for the Institutionalization of Service-Learning in Higher Education to facilitate annual self assessment activities and development priorities</dc:title>
  <dc:creator>HubbardS</dc:creator>
  <cp:lastModifiedBy>Terri Covey</cp:lastModifiedBy>
  <cp:revision>2</cp:revision>
  <cp:lastPrinted>2011-02-07T20:19:00Z</cp:lastPrinted>
  <dcterms:created xsi:type="dcterms:W3CDTF">2015-02-04T18:58:00Z</dcterms:created>
  <dcterms:modified xsi:type="dcterms:W3CDTF">2015-02-04T18:58:00Z</dcterms:modified>
</cp:coreProperties>
</file>